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0" w:name="_Toc15377193"/>
      <w:bookmarkStart w:id="1" w:name="_Toc15396597"/>
      <w:bookmarkStart w:id="2" w:name="_Toc15378441"/>
      <w:bookmarkStart w:id="3" w:name="_Toc15396475"/>
      <w:bookmarkStart w:id="4" w:name="_Toc15377425"/>
      <w:r>
        <w:rPr>
          <w:rFonts w:hint="eastAsia" w:ascii="方正小标宋简体" w:hAnsi="方正小标宋简体" w:eastAsia="方正小标宋简体" w:cs="方正小标宋简体"/>
          <w:sz w:val="72"/>
          <w:szCs w:val="72"/>
        </w:rPr>
        <w:t>2021年度</w:t>
      </w:r>
      <w:bookmarkEnd w:id="0"/>
      <w:bookmarkEnd w:id="1"/>
      <w:bookmarkEnd w:id="2"/>
      <w:bookmarkEnd w:id="3"/>
      <w:bookmarkEnd w:id="4"/>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5" w:name="_Toc15396598"/>
      <w:bookmarkStart w:id="6" w:name="_Toc15377194"/>
      <w:bookmarkStart w:id="7" w:name="_Toc15378442"/>
      <w:bookmarkStart w:id="8" w:name="_Toc15396476"/>
      <w:bookmarkStart w:id="9" w:name="_Toc15377426"/>
      <w:r>
        <w:rPr>
          <w:rFonts w:hint="eastAsia" w:ascii="方正小标宋简体" w:hAnsi="方正小标宋简体" w:eastAsia="方正小标宋简体" w:cs="方正小标宋简体"/>
          <w:sz w:val="72"/>
          <w:szCs w:val="72"/>
        </w:rPr>
        <w:t>四川省</w:t>
      </w:r>
      <w:bookmarkStart w:id="10" w:name="_Toc15306268"/>
      <w:r>
        <w:rPr>
          <w:rFonts w:hint="eastAsia" w:ascii="方正小标宋简体" w:hAnsi="方正小标宋简体" w:eastAsia="方正小标宋简体" w:cs="方正小标宋简体"/>
          <w:sz w:val="72"/>
          <w:szCs w:val="72"/>
        </w:rPr>
        <w:t>攀枝花市</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西区人民检察院决算</w:t>
      </w:r>
      <w:bookmarkEnd w:id="5"/>
      <w:bookmarkEnd w:id="6"/>
      <w:bookmarkEnd w:id="7"/>
      <w:bookmarkEnd w:id="8"/>
      <w:bookmarkEnd w:id="9"/>
      <w:bookmarkEnd w:id="10"/>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6"/>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公开时间：2022年9月29日</w:t>
      </w:r>
    </w:p>
    <w:p>
      <w:pPr>
        <w:spacing w:line="480" w:lineRule="auto"/>
        <w:ind w:firstLine="600" w:firstLineChars="200"/>
        <w:rPr>
          <w:rFonts w:asciiTheme="minorEastAsia" w:hAnsiTheme="minorEastAsia" w:eastAsiaTheme="minorEastAsia"/>
          <w:sz w:val="30"/>
          <w:szCs w:val="30"/>
        </w:rPr>
      </w:pPr>
    </w:p>
    <w:p>
      <w:pPr>
        <w:pStyle w:val="6"/>
        <w:adjustRightInd w:val="0"/>
        <w:snapToGrid w:val="0"/>
        <w:spacing w:before="0" w:line="480" w:lineRule="auto"/>
        <w:ind w:firstLine="600" w:firstLineChars="200"/>
        <w:jc w:val="left"/>
        <w:rPr>
          <w:rFonts w:asciiTheme="minorEastAsia" w:hAnsiTheme="minorEastAsia" w:eastAsiaTheme="minorEastAsia" w:cstheme="minorBidi"/>
          <w:sz w:val="30"/>
          <w:szCs w:val="30"/>
        </w:rPr>
      </w:pPr>
      <w:r>
        <w:rPr>
          <w:rFonts w:hint="eastAsia" w:asciiTheme="minorEastAsia" w:hAnsiTheme="minorEastAsia" w:eastAsiaTheme="minorEastAsia"/>
          <w:sz w:val="30"/>
          <w:szCs w:val="30"/>
        </w:rPr>
        <w:t>第一部分 部门概况</w:t>
      </w:r>
    </w:p>
    <w:p>
      <w:pPr>
        <w:pStyle w:val="7"/>
        <w:adjustRightInd w:val="0"/>
        <w:snapToGrid w:val="0"/>
        <w:spacing w:line="480" w:lineRule="auto"/>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一、基本职能及主要工作----------------------------4</w:t>
      </w:r>
    </w:p>
    <w:p>
      <w:pPr>
        <w:pStyle w:val="7"/>
        <w:adjustRightInd w:val="0"/>
        <w:snapToGrid w:val="0"/>
        <w:spacing w:line="480" w:lineRule="auto"/>
        <w:ind w:firstLine="600" w:firstLineChars="200"/>
        <w:jc w:val="left"/>
        <w:rPr>
          <w:rFonts w:asciiTheme="minorEastAsia" w:hAnsiTheme="minorEastAsia" w:eastAsiaTheme="minorEastAsia" w:cstheme="minorEastAsia"/>
          <w:sz w:val="30"/>
          <w:szCs w:val="30"/>
        </w:rPr>
      </w:pPr>
      <w:r>
        <w:rPr>
          <w:rFonts w:hint="eastAsia" w:asciiTheme="minorEastAsia" w:hAnsiTheme="minorEastAsia" w:eastAsiaTheme="minorEastAsia"/>
          <w:sz w:val="30"/>
          <w:szCs w:val="30"/>
        </w:rPr>
        <w:t>二、机构设置---</w:t>
      </w:r>
      <w:r>
        <w:rPr>
          <w:rFonts w:asciiTheme="minorEastAsia" w:hAnsiTheme="minorEastAsia" w:eastAsiaTheme="minorEastAsia"/>
          <w:sz w:val="30"/>
          <w:szCs w:val="30"/>
        </w:rPr>
        <w:t>---------------</w:t>
      </w:r>
      <w:r>
        <w:rPr>
          <w:rFonts w:hint="eastAsia" w:asciiTheme="minorEastAsia" w:hAnsiTheme="minorEastAsia" w:eastAsiaTheme="minorEastAsia"/>
          <w:sz w:val="30"/>
          <w:szCs w:val="30"/>
        </w:rPr>
        <w:t>--------------------</w:t>
      </w:r>
      <w:r>
        <w:rPr>
          <w:rFonts w:asciiTheme="minorEastAsia" w:hAnsiTheme="minorEastAsia" w:eastAsiaTheme="minorEastAsia"/>
          <w:sz w:val="30"/>
          <w:szCs w:val="30"/>
        </w:rPr>
        <w:t>8</w:t>
      </w:r>
    </w:p>
    <w:p>
      <w:pPr>
        <w:pStyle w:val="6"/>
        <w:adjustRightInd w:val="0"/>
        <w:snapToGrid w:val="0"/>
        <w:spacing w:before="0" w:line="480" w:lineRule="auto"/>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第二部分 2021年度单位决算情况说明-------------------8</w:t>
      </w:r>
    </w:p>
    <w:p>
      <w:pPr>
        <w:pStyle w:val="7"/>
        <w:adjustRightInd w:val="0"/>
        <w:snapToGrid w:val="0"/>
        <w:spacing w:line="480" w:lineRule="auto"/>
        <w:ind w:firstLine="600" w:firstLineChars="200"/>
        <w:jc w:val="left"/>
        <w:rPr>
          <w:rFonts w:asciiTheme="minorEastAsia" w:hAnsiTheme="minorEastAsia" w:eastAsiaTheme="minorEastAsia" w:cstheme="minorBidi"/>
          <w:sz w:val="30"/>
          <w:szCs w:val="30"/>
        </w:rPr>
      </w:pPr>
      <w:r>
        <w:rPr>
          <w:rFonts w:hint="eastAsia" w:asciiTheme="minorEastAsia" w:hAnsiTheme="minorEastAsia" w:eastAsiaTheme="minorEastAsia"/>
          <w:sz w:val="30"/>
          <w:szCs w:val="30"/>
        </w:rPr>
        <w:t>一、收入支出决算总体情况说明----------------------8</w:t>
      </w:r>
    </w:p>
    <w:p>
      <w:pPr>
        <w:pStyle w:val="7"/>
        <w:adjustRightInd w:val="0"/>
        <w:snapToGrid w:val="0"/>
        <w:spacing w:line="480" w:lineRule="auto"/>
        <w:ind w:firstLine="600" w:firstLineChars="200"/>
        <w:jc w:val="left"/>
        <w:rPr>
          <w:rFonts w:asciiTheme="minorEastAsia" w:hAnsiTheme="minorEastAsia" w:eastAsiaTheme="minorEastAsia" w:cstheme="minorBidi"/>
          <w:sz w:val="30"/>
          <w:szCs w:val="30"/>
        </w:rPr>
      </w:pPr>
      <w:r>
        <w:rPr>
          <w:rFonts w:hint="eastAsia" w:asciiTheme="minorEastAsia" w:hAnsiTheme="minorEastAsia" w:eastAsiaTheme="minorEastAsia"/>
          <w:sz w:val="30"/>
          <w:szCs w:val="30"/>
        </w:rPr>
        <w:t>二、收入决算情况说明------------------------------</w:t>
      </w:r>
      <w:r>
        <w:rPr>
          <w:rFonts w:asciiTheme="minorEastAsia" w:hAnsiTheme="minorEastAsia" w:eastAsiaTheme="minorEastAsia"/>
          <w:sz w:val="30"/>
          <w:szCs w:val="30"/>
        </w:rPr>
        <w:t>9</w:t>
      </w:r>
    </w:p>
    <w:p>
      <w:pPr>
        <w:pStyle w:val="7"/>
        <w:adjustRightInd w:val="0"/>
        <w:snapToGrid w:val="0"/>
        <w:spacing w:line="480" w:lineRule="auto"/>
        <w:ind w:firstLine="600" w:firstLineChars="200"/>
        <w:jc w:val="left"/>
        <w:rPr>
          <w:rFonts w:asciiTheme="minorEastAsia" w:hAnsiTheme="minorEastAsia" w:eastAsiaTheme="minorEastAsia" w:cstheme="minorBidi"/>
          <w:sz w:val="30"/>
          <w:szCs w:val="30"/>
        </w:rPr>
      </w:pPr>
      <w:r>
        <w:rPr>
          <w:rFonts w:hint="eastAsia" w:asciiTheme="minorEastAsia" w:hAnsiTheme="minorEastAsia" w:eastAsiaTheme="minorEastAsia"/>
          <w:sz w:val="30"/>
          <w:szCs w:val="30"/>
        </w:rPr>
        <w:t>三、支出决算情况说明------------------------------9</w:t>
      </w:r>
    </w:p>
    <w:p>
      <w:pPr>
        <w:pStyle w:val="7"/>
        <w:adjustRightInd w:val="0"/>
        <w:snapToGrid w:val="0"/>
        <w:spacing w:line="480" w:lineRule="auto"/>
        <w:ind w:firstLine="600" w:firstLineChars="200"/>
        <w:jc w:val="left"/>
        <w:rPr>
          <w:rFonts w:asciiTheme="minorEastAsia" w:hAnsiTheme="minorEastAsia" w:eastAsiaTheme="minorEastAsia" w:cstheme="minorBidi"/>
          <w:sz w:val="30"/>
          <w:szCs w:val="30"/>
        </w:rPr>
      </w:pPr>
      <w:r>
        <w:rPr>
          <w:rFonts w:hint="eastAsia" w:asciiTheme="minorEastAsia" w:hAnsiTheme="minorEastAsia" w:eastAsiaTheme="minorEastAsia"/>
          <w:sz w:val="30"/>
          <w:szCs w:val="30"/>
        </w:rPr>
        <w:t>四、财政拨款收入支出决算总体情况说明-------------10</w:t>
      </w:r>
    </w:p>
    <w:p>
      <w:pPr>
        <w:pStyle w:val="7"/>
        <w:adjustRightInd w:val="0"/>
        <w:snapToGrid w:val="0"/>
        <w:spacing w:line="480" w:lineRule="auto"/>
        <w:ind w:firstLine="600" w:firstLineChars="200"/>
        <w:jc w:val="left"/>
        <w:rPr>
          <w:rFonts w:asciiTheme="minorEastAsia" w:hAnsiTheme="minorEastAsia" w:eastAsiaTheme="minorEastAsia" w:cstheme="minorBidi"/>
          <w:sz w:val="30"/>
          <w:szCs w:val="30"/>
        </w:rPr>
      </w:pPr>
      <w:r>
        <w:rPr>
          <w:rFonts w:hint="eastAsia" w:asciiTheme="minorEastAsia" w:hAnsiTheme="minorEastAsia" w:eastAsiaTheme="minorEastAsia"/>
          <w:sz w:val="30"/>
          <w:szCs w:val="30"/>
        </w:rPr>
        <w:t>五、一般公共预算财政拨款支出决算情况说明---------10</w:t>
      </w:r>
    </w:p>
    <w:p>
      <w:pPr>
        <w:pStyle w:val="7"/>
        <w:adjustRightInd w:val="0"/>
        <w:snapToGrid w:val="0"/>
        <w:spacing w:line="480" w:lineRule="auto"/>
        <w:ind w:firstLine="600" w:firstLineChars="200"/>
        <w:jc w:val="left"/>
        <w:rPr>
          <w:rFonts w:asciiTheme="minorEastAsia" w:hAnsiTheme="minorEastAsia" w:eastAsiaTheme="minorEastAsia" w:cstheme="minorBidi"/>
          <w:sz w:val="30"/>
          <w:szCs w:val="30"/>
        </w:rPr>
      </w:pPr>
      <w:r>
        <w:rPr>
          <w:rFonts w:hint="eastAsia" w:asciiTheme="minorEastAsia" w:hAnsiTheme="minorEastAsia" w:eastAsiaTheme="minorEastAsia"/>
          <w:sz w:val="30"/>
          <w:szCs w:val="30"/>
        </w:rPr>
        <w:t>六、一般公共预算财政拨款基本支出决算情况说明-----1</w:t>
      </w:r>
      <w:r>
        <w:rPr>
          <w:rFonts w:asciiTheme="minorEastAsia" w:hAnsiTheme="minorEastAsia" w:eastAsiaTheme="minorEastAsia"/>
          <w:sz w:val="30"/>
          <w:szCs w:val="30"/>
        </w:rPr>
        <w:t>3</w:t>
      </w:r>
    </w:p>
    <w:p>
      <w:pPr>
        <w:pStyle w:val="7"/>
        <w:adjustRightInd w:val="0"/>
        <w:snapToGrid w:val="0"/>
        <w:spacing w:line="480" w:lineRule="auto"/>
        <w:ind w:firstLine="600" w:firstLineChars="200"/>
        <w:jc w:val="left"/>
        <w:rPr>
          <w:rFonts w:asciiTheme="minorEastAsia" w:hAnsiTheme="minorEastAsia" w:eastAsiaTheme="minorEastAsia" w:cstheme="minorBidi"/>
          <w:sz w:val="30"/>
          <w:szCs w:val="30"/>
        </w:rPr>
      </w:pPr>
      <w:r>
        <w:rPr>
          <w:rFonts w:hint="eastAsia" w:asciiTheme="minorEastAsia" w:hAnsiTheme="minorEastAsia" w:eastAsiaTheme="minorEastAsia"/>
          <w:sz w:val="30"/>
          <w:szCs w:val="30"/>
        </w:rPr>
        <w:t>七、“三公”经费财政拨款支出决算情况说明----------1</w:t>
      </w:r>
      <w:r>
        <w:rPr>
          <w:rFonts w:asciiTheme="minorEastAsia" w:hAnsiTheme="minorEastAsia" w:eastAsiaTheme="minorEastAsia"/>
          <w:sz w:val="30"/>
          <w:szCs w:val="30"/>
        </w:rPr>
        <w:t>3</w:t>
      </w:r>
    </w:p>
    <w:p>
      <w:pPr>
        <w:pStyle w:val="7"/>
        <w:adjustRightInd w:val="0"/>
        <w:snapToGrid w:val="0"/>
        <w:spacing w:line="480" w:lineRule="auto"/>
        <w:ind w:firstLine="600" w:firstLineChars="200"/>
        <w:jc w:val="left"/>
        <w:rPr>
          <w:rFonts w:asciiTheme="minorEastAsia" w:hAnsiTheme="minorEastAsia" w:eastAsiaTheme="minorEastAsia" w:cstheme="minorBidi"/>
          <w:sz w:val="30"/>
          <w:szCs w:val="30"/>
        </w:rPr>
      </w:pPr>
      <w:r>
        <w:rPr>
          <w:rFonts w:hint="eastAsia" w:asciiTheme="minorEastAsia" w:hAnsiTheme="minorEastAsia" w:eastAsiaTheme="minorEastAsia"/>
          <w:sz w:val="30"/>
          <w:szCs w:val="30"/>
        </w:rPr>
        <w:t>八、政府性基金预算支出决算情况说明---------------15</w:t>
      </w:r>
    </w:p>
    <w:p>
      <w:pPr>
        <w:pStyle w:val="7"/>
        <w:adjustRightInd w:val="0"/>
        <w:snapToGrid w:val="0"/>
        <w:spacing w:line="480" w:lineRule="auto"/>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九、国有资本经营预算支出决算情况说明-------------15</w:t>
      </w:r>
    </w:p>
    <w:p>
      <w:pPr>
        <w:pStyle w:val="7"/>
        <w:adjustRightInd w:val="0"/>
        <w:snapToGrid w:val="0"/>
        <w:spacing w:line="480" w:lineRule="auto"/>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十、其他重要事项的情况说明-----------------------15</w:t>
      </w:r>
    </w:p>
    <w:p>
      <w:pPr>
        <w:pStyle w:val="6"/>
        <w:adjustRightInd w:val="0"/>
        <w:snapToGrid w:val="0"/>
        <w:spacing w:before="0" w:line="480" w:lineRule="auto"/>
        <w:ind w:firstLine="600" w:firstLineChars="200"/>
        <w:jc w:val="left"/>
        <w:rPr>
          <w:rFonts w:asciiTheme="minorEastAsia" w:hAnsiTheme="minorEastAsia" w:eastAsiaTheme="minorEastAsia" w:cstheme="minorBidi"/>
          <w:sz w:val="30"/>
          <w:szCs w:val="30"/>
        </w:rPr>
      </w:pPr>
      <w:r>
        <w:rPr>
          <w:rFonts w:hint="eastAsia" w:asciiTheme="minorEastAsia" w:hAnsiTheme="minorEastAsia" w:eastAsiaTheme="minorEastAsia"/>
          <w:sz w:val="30"/>
          <w:szCs w:val="30"/>
        </w:rPr>
        <w:t>第三部分名词解释------------------------------------2</w:t>
      </w:r>
      <w:r>
        <w:rPr>
          <w:rFonts w:asciiTheme="minorEastAsia" w:hAnsiTheme="minorEastAsia" w:eastAsiaTheme="minorEastAsia"/>
          <w:sz w:val="30"/>
          <w:szCs w:val="30"/>
        </w:rPr>
        <w:t>0</w:t>
      </w:r>
    </w:p>
    <w:p>
      <w:pPr>
        <w:pStyle w:val="6"/>
        <w:adjustRightInd w:val="0"/>
        <w:snapToGrid w:val="0"/>
        <w:spacing w:before="0" w:line="480" w:lineRule="auto"/>
        <w:ind w:firstLine="600" w:firstLineChars="200"/>
        <w:jc w:val="left"/>
        <w:rPr>
          <w:rFonts w:asciiTheme="minorEastAsia" w:hAnsiTheme="minorEastAsia" w:eastAsiaTheme="minorEastAsia" w:cstheme="minorBidi"/>
          <w:sz w:val="30"/>
          <w:szCs w:val="30"/>
        </w:rPr>
      </w:pPr>
      <w:r>
        <w:rPr>
          <w:rFonts w:hint="eastAsia" w:asciiTheme="minorEastAsia" w:hAnsiTheme="minorEastAsia" w:eastAsiaTheme="minorEastAsia"/>
          <w:sz w:val="30"/>
          <w:szCs w:val="30"/>
        </w:rPr>
        <w:t>第四部分附件----------------------------------------2</w:t>
      </w:r>
      <w:r>
        <w:rPr>
          <w:rFonts w:asciiTheme="minorEastAsia" w:hAnsiTheme="minorEastAsia" w:eastAsiaTheme="minorEastAsia"/>
          <w:sz w:val="30"/>
          <w:szCs w:val="30"/>
        </w:rPr>
        <w:t>2</w:t>
      </w:r>
    </w:p>
    <w:p>
      <w:pPr>
        <w:pStyle w:val="6"/>
        <w:adjustRightInd w:val="0"/>
        <w:snapToGrid w:val="0"/>
        <w:spacing w:before="0" w:line="480" w:lineRule="auto"/>
        <w:ind w:firstLine="600" w:firstLineChars="200"/>
        <w:jc w:val="left"/>
        <w:rPr>
          <w:rFonts w:asciiTheme="minorEastAsia" w:hAnsiTheme="minorEastAsia" w:eastAsiaTheme="minorEastAsia" w:cstheme="minorBidi"/>
          <w:sz w:val="30"/>
          <w:szCs w:val="30"/>
        </w:rPr>
      </w:pPr>
      <w:r>
        <w:rPr>
          <w:rFonts w:hint="eastAsia" w:asciiTheme="minorEastAsia" w:hAnsiTheme="minorEastAsia" w:eastAsiaTheme="minorEastAsia"/>
          <w:sz w:val="30"/>
          <w:szCs w:val="30"/>
        </w:rPr>
        <w:t>第五部分附表----------------------------------------4</w:t>
      </w:r>
      <w:r>
        <w:rPr>
          <w:rFonts w:asciiTheme="minorEastAsia" w:hAnsiTheme="minorEastAsia" w:eastAsiaTheme="minorEastAsia"/>
          <w:sz w:val="30"/>
          <w:szCs w:val="30"/>
        </w:rPr>
        <w:t>0</w:t>
      </w:r>
    </w:p>
    <w:p>
      <w:pPr>
        <w:pStyle w:val="7"/>
        <w:adjustRightInd w:val="0"/>
        <w:snapToGrid w:val="0"/>
        <w:spacing w:line="480" w:lineRule="auto"/>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一、收入支出决算总表</w:t>
      </w:r>
    </w:p>
    <w:p>
      <w:pPr>
        <w:pStyle w:val="7"/>
        <w:adjustRightInd w:val="0"/>
        <w:snapToGrid w:val="0"/>
        <w:spacing w:line="480" w:lineRule="auto"/>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二、收入决算表</w:t>
      </w:r>
    </w:p>
    <w:p>
      <w:pPr>
        <w:pStyle w:val="7"/>
        <w:adjustRightInd w:val="0"/>
        <w:snapToGrid w:val="0"/>
        <w:spacing w:line="480" w:lineRule="auto"/>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三、支出决算表</w:t>
      </w:r>
    </w:p>
    <w:p>
      <w:pPr>
        <w:pStyle w:val="7"/>
        <w:adjustRightInd w:val="0"/>
        <w:snapToGrid w:val="0"/>
        <w:spacing w:line="480" w:lineRule="auto"/>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四、财政拨款收入支出决算总表</w:t>
      </w:r>
    </w:p>
    <w:p>
      <w:pPr>
        <w:pStyle w:val="7"/>
        <w:adjustRightInd w:val="0"/>
        <w:snapToGrid w:val="0"/>
        <w:spacing w:line="480" w:lineRule="auto"/>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五、财政拨款支出决算明细表</w:t>
      </w:r>
    </w:p>
    <w:p>
      <w:pPr>
        <w:pStyle w:val="7"/>
        <w:adjustRightInd w:val="0"/>
        <w:snapToGrid w:val="0"/>
        <w:spacing w:line="480" w:lineRule="auto"/>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六、一般公共预算财政拨款支出决算表</w:t>
      </w:r>
    </w:p>
    <w:p>
      <w:pPr>
        <w:pStyle w:val="7"/>
        <w:adjustRightInd w:val="0"/>
        <w:snapToGrid w:val="0"/>
        <w:spacing w:line="480" w:lineRule="auto"/>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七、一般公共预算财政拨款支出决算明细表</w:t>
      </w:r>
    </w:p>
    <w:p>
      <w:pPr>
        <w:pStyle w:val="7"/>
        <w:adjustRightInd w:val="0"/>
        <w:snapToGrid w:val="0"/>
        <w:spacing w:line="480" w:lineRule="auto"/>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八、一般公共预算财政拨款基本支出决算表</w:t>
      </w:r>
    </w:p>
    <w:p>
      <w:pPr>
        <w:pStyle w:val="7"/>
        <w:adjustRightInd w:val="0"/>
        <w:snapToGrid w:val="0"/>
        <w:spacing w:line="480" w:lineRule="auto"/>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九、一般公共预算财政拨款项目支出决算表</w:t>
      </w:r>
    </w:p>
    <w:p>
      <w:pPr>
        <w:pStyle w:val="7"/>
        <w:adjustRightInd w:val="0"/>
        <w:snapToGrid w:val="0"/>
        <w:spacing w:line="480" w:lineRule="auto"/>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十、一般公共预算财政拨款“三公”经费支出决算表</w:t>
      </w:r>
    </w:p>
    <w:p>
      <w:pPr>
        <w:pStyle w:val="7"/>
        <w:adjustRightInd w:val="0"/>
        <w:snapToGrid w:val="0"/>
        <w:spacing w:line="480" w:lineRule="auto"/>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十一、政府性基金预算财政拨款收入支出决算表</w:t>
      </w:r>
    </w:p>
    <w:p>
      <w:pPr>
        <w:pStyle w:val="7"/>
        <w:adjustRightInd w:val="0"/>
        <w:snapToGrid w:val="0"/>
        <w:spacing w:line="480" w:lineRule="auto"/>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十二、政府性基金预算财政拨款“三公”经费支出决算表</w:t>
      </w:r>
    </w:p>
    <w:p>
      <w:pPr>
        <w:pStyle w:val="7"/>
        <w:adjustRightInd w:val="0"/>
        <w:snapToGrid w:val="0"/>
        <w:spacing w:line="480" w:lineRule="auto"/>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十三、国有资本经营预算财政拨款收入支出决算表</w:t>
      </w:r>
    </w:p>
    <w:p>
      <w:pPr>
        <w:pStyle w:val="7"/>
        <w:adjustRightInd w:val="0"/>
        <w:snapToGrid w:val="0"/>
        <w:spacing w:line="480" w:lineRule="auto"/>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十四、国有资本经营预算财政拨款支出决算表</w:t>
      </w:r>
    </w:p>
    <w:p>
      <w:pPr>
        <w:spacing w:line="480" w:lineRule="auto"/>
        <w:ind w:firstLine="600" w:firstLineChars="200"/>
        <w:rPr>
          <w:rFonts w:asciiTheme="minorEastAsia" w:hAnsiTheme="minorEastAsia" w:eastAsiaTheme="minorEastAsia"/>
          <w:sz w:val="30"/>
          <w:szCs w:val="30"/>
        </w:rPr>
      </w:pPr>
    </w:p>
    <w:p>
      <w:pPr>
        <w:spacing w:line="480" w:lineRule="auto"/>
        <w:ind w:firstLine="600" w:firstLineChars="200"/>
        <w:rPr>
          <w:rFonts w:asciiTheme="minorEastAsia" w:hAnsiTheme="minorEastAsia" w:eastAsiaTheme="minorEastAsia"/>
          <w:sz w:val="30"/>
          <w:szCs w:val="30"/>
        </w:rPr>
      </w:pPr>
    </w:p>
    <w:p>
      <w:pPr>
        <w:spacing w:line="480" w:lineRule="auto"/>
        <w:ind w:firstLine="600" w:firstLineChars="200"/>
        <w:rPr>
          <w:rFonts w:asciiTheme="minorEastAsia" w:hAnsiTheme="minorEastAsia" w:eastAsiaTheme="minorEastAsia"/>
          <w:sz w:val="30"/>
          <w:szCs w:val="30"/>
        </w:rPr>
      </w:pPr>
    </w:p>
    <w:p>
      <w:pPr>
        <w:spacing w:line="480" w:lineRule="auto"/>
        <w:ind w:firstLine="883" w:firstLineChars="200"/>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第一部分 单位概况</w:t>
      </w:r>
    </w:p>
    <w:p>
      <w:pPr>
        <w:spacing w:line="480" w:lineRule="auto"/>
        <w:ind w:firstLine="600" w:firstLineChars="200"/>
        <w:rPr>
          <w:rFonts w:asciiTheme="minorEastAsia" w:hAnsiTheme="minorEastAsia" w:eastAsiaTheme="minorEastAsia"/>
          <w:sz w:val="30"/>
          <w:szCs w:val="30"/>
        </w:rPr>
      </w:pPr>
    </w:p>
    <w:p>
      <w:pPr>
        <w:pStyle w:val="14"/>
        <w:numPr>
          <w:ilvl w:val="0"/>
          <w:numId w:val="1"/>
        </w:numPr>
        <w:spacing w:line="480" w:lineRule="auto"/>
        <w:ind w:firstLineChars="0"/>
        <w:rPr>
          <w:rFonts w:ascii="黑体" w:hAnsi="黑体" w:eastAsia="黑体"/>
          <w:sz w:val="32"/>
          <w:szCs w:val="32"/>
        </w:rPr>
      </w:pPr>
      <w:r>
        <w:rPr>
          <w:rFonts w:hint="eastAsia" w:ascii="黑体" w:hAnsi="黑体" w:eastAsia="黑体"/>
          <w:sz w:val="32"/>
          <w:szCs w:val="32"/>
        </w:rPr>
        <w:t>基本职能与主要工作</w:t>
      </w:r>
    </w:p>
    <w:p>
      <w:pPr>
        <w:spacing w:line="480" w:lineRule="auto"/>
        <w:ind w:left="600"/>
        <w:rPr>
          <w:rFonts w:asciiTheme="minorEastAsia" w:hAnsiTheme="minorEastAsia" w:eastAsiaTheme="minorEastAsia"/>
          <w:sz w:val="30"/>
          <w:szCs w:val="30"/>
        </w:rPr>
      </w:pPr>
      <w:r>
        <w:rPr>
          <w:rFonts w:hint="eastAsia" w:asciiTheme="minorEastAsia" w:hAnsiTheme="minorEastAsia" w:eastAsiaTheme="minorEastAsia"/>
          <w:sz w:val="30"/>
          <w:szCs w:val="30"/>
        </w:rPr>
        <w:t>（一）基本职能</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攀枝花市西区人民检察院是国家法律监督机关，在西区区委和攀枝花市人民检察院的领导下，对攀枝花市西区人民代表大会及其常务委员会负责并报告工作，其主要职责是：</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（1）依法向攀枝花市西区人民代表大会及其常务委员会提出议案；</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（2）按照上级检察机关确定的方针政策和区委的要求开展检察工作；</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（3）对严重破坏国家的法律法令、政策、政令统一实施的犯罪案件，依法行使检察权；</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（4）全面开展检察机关提起公益诉讼工作；</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（5）依法对刑事犯罪案件依法审查批准逮捕、决定逮捕、提起公诉；</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（6）依法对刑事诉讼、民事审判、经济审判和行政诉讼实行法律监督；</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（7）依法对执行机关刑罚执行活动是否合法实施监督；</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（8）依法对同级人民法院已经发生法律效力的第一审判决和裁定，认为确有错误的，提请攀枝花市人民检察院向攀枝花市人民法院提出抗诉；</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（9）对本院在行使检察权中作出的决定进行检查、纠正，办理刑事赔偿的具体事项；</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（10）受理单位和个人的报案、控告、申诉、举报以及犯罪嫌疑人的自首；</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（11）开展法治宣传工作，负责对检察环节中的社会治安综合治理工作；</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（12）开展检察技术、通信专网建设、信息网络工作和物证检验、鉴定工作；</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（13）开展对检察工作中的具体法律应用问题的调查研究，推动检察改革；</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（14）负责本院干部队伍建设和思想政治工作，依法管理检察官及其他检察人员，制定相关人员管理办法；</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（15）组织实施本院干部教育培训工作；</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（16）计划安排本院财务装备工作；</w:t>
      </w:r>
    </w:p>
    <w:p>
      <w:pPr>
        <w:spacing w:line="480" w:lineRule="auto"/>
        <w:ind w:firstLine="600" w:firstLineChars="200"/>
        <w:rPr>
          <w:rFonts w:hint="eastAsia" w:asciiTheme="minorEastAsia" w:hAnsiTheme="minorEastAsia" w:eastAsiaTheme="minorEastAsia"/>
          <w:sz w:val="30"/>
          <w:szCs w:val="30"/>
        </w:rPr>
      </w:pPr>
      <w:r>
        <w:rPr>
          <w:rFonts w:hint="eastAsia" w:asciiTheme="minorEastAsia" w:hAnsiTheme="minorEastAsia" w:eastAsiaTheme="minorEastAsia"/>
          <w:sz w:val="30"/>
          <w:szCs w:val="30"/>
        </w:rPr>
        <w:t>（17）负责其他应当由西区检察院承办的事项。</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（二）2021年重点工作完成情况</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1、严厉打击各类刑事犯罪。今年共受理提请批准逮捕案件105件141人，批准逮捕93件109人，不批准逮捕11件31人。移送审查起诉案件219件309人，提起公诉163件223人，不起诉25件33人。坚决打击危害公共安全、妨害社会管理秩序等犯罪，批准逮捕寻衅滋事案2件2人，起诉非法持有枪支案2件3人，起诉开设赌场案3件8人。严厉惩治“两抢一盗”等多发性侵财案件，批准逮捕盗窃案22件28人，对诈骗案8件12人提起公诉，维护人民群众财产安全。依法从严、从快打击毒品犯罪，批准逮捕毒品犯罪案件27件30人，起诉毒品犯罪案件27件29人。</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积极推进社会综合治理。全力推进认罪认罚从宽工作，共办理适用被告人认罪认罚从宽制度案件162件210人，提出确定刑量刑建议175人，法院采纳141人，进一步节约司法成本，修复社会关系。推动落实“四号”检察建议，联合有关部门开展“窨井盖”综合治理整治工作，保障群众“脚底下的安全”。联合开展污水排放、汽车维修店废气机油处置等专项检查6次，筑牢生态屏障。起诉危险驾驶案件8件8人，形成《近五年来危险驾驶案件业务态势分析报告》，保障人民群众出行安全。结合执法办案，共发出检察建议75件，其中社会治理类检察建议5件。</w:t>
      </w:r>
      <w:r>
        <w:rPr>
          <w:rFonts w:hint="eastAsia" w:asciiTheme="minorEastAsia" w:hAnsiTheme="minorEastAsia" w:eastAsiaTheme="minorEastAsia"/>
          <w:sz w:val="30"/>
          <w:szCs w:val="30"/>
        </w:rPr>
        <w:cr/>
      </w:r>
      <w:r>
        <w:rPr>
          <w:rFonts w:hint="eastAsia" w:asciiTheme="minorEastAsia" w:hAnsiTheme="minorEastAsia" w:eastAsiaTheme="minorEastAsia"/>
          <w:sz w:val="30"/>
          <w:szCs w:val="30"/>
        </w:rPr>
        <w:t xml:space="preserve">    3、保护未成年人合法权益。严惩和预防侵害未成年人犯罪。起诉侵害未成年人犯罪案件4件5人，对未成年被告人的父亲发出督促监护令1次。坚持对涉罪未成年人和未成年被害人“双向保护”原则，对未成年嫌疑人附条件不起诉2人，对6人适用认罪认罚从宽制度，开展心理辅导等多元化救助8 人次，努力实现“办一个案子，救一个孩子”。加强预防犯罪，督促教育局对辖区学校教职工开展入职查询1299人，开展“法治进校园”15次，覆盖辖区全部学校，全面保护未成年人健康成长。</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4、妥善化解社会矛盾纠纷。。坚持诉访分离，监督公安机关对一起婚姻诈骗案进行立案侦查，将犯罪嫌疑人王某某抓获归案。落实最高检“群众信访件件有回复”要求，共接收信访案件32件，对所有案件实现做了7日内程序性、结果性回复。抓好涉检矛盾化解，检察长接访20件50余人次。律师参与化解涉法涉诉信访案件2件，促进破解涉法涉诉信访难题。</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5、加强刑事立案侦查审判监督。加强立案、侦查监督，针对公安机关的侦查活动，共立案监督9件，撤案 2 件，提出书面纠正违法15件次，提前介入重大案件 44 件。强化刑事审判监督，对认为确有错误的刑事裁判提出抗诉 2 件。</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6、加强刑事执行检察监督。开展巡回检察工作，共检察监督社区矫正人员140人，书面发出纠正违法通知书2件，共同推进社区矫正工作严格执法、公正司法。开展“减假暂”专项检查，检查监督区人民法院1990年至2020年判决暂予监外执行案件21件21人，审查出问题案件1件。加强刑事裁判涉财产部分执行的监督工作，共监督涉黑涉恶案件1件3人、恶势力团伙1件9人，严格规范执行标准。</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 xml:space="preserve">7、强化民事检察监督。加大民事行政审判、执行活动监督，办理民事审判程序监督案件12件，民事执行活动监督案件19件，民事生效裁判监督案件审结数占民事生效裁判监督案件受理数的比例达到100%。加强对民事支持起诉、执行活动的监督、审判程序的监督力度，开展民事行政审判、执行活动违法案件大检查，共排查案件45件，立案20件。 </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8、做实行政检察工作。开展行政非诉执行监督专项活动，开展行政非诉执行监督7件，均已被采纳，进一步推进和谐社会和法治社会建设。与区自然资源和规划局召开“土地类行政处罚非诉案件”会商会2次，合力破解土地类行政处罚决定申请强制执行难问题。</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9、持续推进公益诉讼工作。公益诉讼立案共46件，涉及生态环境、食药品安全、资源保护和国有财产等领域，提起刑事附带民事公益诉讼案件3件。完善公益诉讼制度，与辖区5个街道办事处搭建公益诉讼良性互动平台，解决基层跨部门跨领域综合性问题。拓展公益诉讼线索，通过连续宣传、走访等形式，排查问题线索36件。利用“公益随手拍”举报小程序、论坛等发现线索6件，发出检察建议39件，引导形成全民理解支持和全社会共同参与公益诉讼的良好氛围。</w:t>
      </w:r>
    </w:p>
    <w:p>
      <w:pPr>
        <w:spacing w:line="480" w:lineRule="auto"/>
        <w:ind w:firstLine="640" w:firstLineChars="200"/>
        <w:rPr>
          <w:rFonts w:ascii="黑体" w:hAnsi="黑体" w:eastAsia="黑体"/>
          <w:sz w:val="32"/>
          <w:szCs w:val="32"/>
        </w:rPr>
      </w:pPr>
      <w:r>
        <w:rPr>
          <w:rFonts w:hint="eastAsia" w:ascii="黑体" w:hAnsi="黑体" w:eastAsia="黑体"/>
          <w:sz w:val="32"/>
          <w:szCs w:val="32"/>
        </w:rPr>
        <w:t>二、机构设置</w:t>
      </w:r>
    </w:p>
    <w:p>
      <w:pPr>
        <w:ind w:firstLine="800" w:firstLineChars="250"/>
        <w:rPr>
          <w:rFonts w:ascii="宋体" w:hAnsi="宋体"/>
          <w:sz w:val="32"/>
          <w:szCs w:val="32"/>
        </w:rPr>
      </w:pPr>
      <w:r>
        <w:rPr>
          <w:rFonts w:hint="eastAsia" w:ascii="宋体" w:hAnsi="宋体"/>
          <w:sz w:val="32"/>
          <w:szCs w:val="32"/>
        </w:rPr>
        <w:t>攀枝花市西区人民检察院是一级预算行政单位，内设5个科室，分别是办公室、政治部（含法警大队）、第一检察部（含未成年人刑事检察部）、第二检察部、第三检察部,</w:t>
      </w:r>
      <w:r>
        <w:rPr>
          <w:rFonts w:hint="eastAsia" w:ascii="仿宋" w:hAnsi="仿宋" w:eastAsia="仿宋"/>
          <w:sz w:val="32"/>
          <w:szCs w:val="32"/>
        </w:rPr>
        <w:t>下属二级单位</w:t>
      </w:r>
      <w:r>
        <w:rPr>
          <w:rFonts w:ascii="仿宋" w:hAnsi="仿宋" w:eastAsia="仿宋"/>
          <w:sz w:val="32"/>
          <w:szCs w:val="32"/>
        </w:rPr>
        <w:t>0</w:t>
      </w:r>
      <w:r>
        <w:rPr>
          <w:rFonts w:hint="eastAsia" w:ascii="仿宋" w:hAnsi="仿宋" w:eastAsia="仿宋"/>
          <w:sz w:val="32"/>
          <w:szCs w:val="32"/>
        </w:rPr>
        <w:t>个。</w:t>
      </w:r>
    </w:p>
    <w:p>
      <w:pPr>
        <w:spacing w:line="480" w:lineRule="auto"/>
        <w:ind w:firstLine="600" w:firstLineChars="200"/>
        <w:rPr>
          <w:rFonts w:asciiTheme="minorEastAsia" w:eastAsiaTheme="minorEastAsia"/>
          <w:sz w:val="30"/>
          <w:szCs w:val="30"/>
        </w:rPr>
      </w:pPr>
    </w:p>
    <w:p>
      <w:pPr>
        <w:spacing w:line="480" w:lineRule="auto"/>
        <w:ind w:firstLine="600" w:firstLineChars="200"/>
        <w:rPr>
          <w:rFonts w:ascii="黑体" w:hAnsi="黑体" w:eastAsia="黑体"/>
          <w:b/>
          <w:sz w:val="44"/>
          <w:szCs w:val="44"/>
        </w:rPr>
      </w:pPr>
      <w:r>
        <w:rPr>
          <w:rFonts w:asciiTheme="minorEastAsia" w:eastAsiaTheme="minorEastAsia"/>
          <w:sz w:val="30"/>
          <w:szCs w:val="30"/>
        </w:rPr>
        <w:t> </w:t>
      </w:r>
      <w:r>
        <w:rPr>
          <w:rFonts w:hint="eastAsia" w:ascii="黑体" w:hAnsi="黑体" w:eastAsia="黑体"/>
          <w:b/>
          <w:sz w:val="44"/>
          <w:szCs w:val="44"/>
        </w:rPr>
        <w:t>第二部分 2021年度单位决算情况说明</w:t>
      </w:r>
    </w:p>
    <w:p>
      <w:pPr>
        <w:spacing w:line="480" w:lineRule="auto"/>
        <w:ind w:firstLine="600" w:firstLineChars="200"/>
        <w:rPr>
          <w:rFonts w:asciiTheme="minorEastAsia" w:hAnsiTheme="minorEastAsia" w:eastAsiaTheme="minorEastAsia"/>
          <w:sz w:val="30"/>
          <w:szCs w:val="30"/>
        </w:rPr>
      </w:pPr>
      <w:bookmarkStart w:id="11" w:name="_GoBack"/>
      <w:bookmarkEnd w:id="11"/>
    </w:p>
    <w:p>
      <w:pPr>
        <w:spacing w:line="480" w:lineRule="auto"/>
        <w:ind w:firstLine="640" w:firstLineChars="200"/>
        <w:rPr>
          <w:rFonts w:ascii="黑体" w:hAnsi="黑体" w:eastAsia="黑体"/>
          <w:sz w:val="32"/>
          <w:szCs w:val="32"/>
        </w:rPr>
      </w:pPr>
      <w:r>
        <w:rPr>
          <w:rFonts w:hint="eastAsia" w:ascii="黑体" w:hAnsi="黑体" w:eastAsia="黑体"/>
          <w:sz w:val="32"/>
          <w:szCs w:val="32"/>
        </w:rPr>
        <w:t>一、收入支出决算总体情况说明</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 xml:space="preserve"> 2021年度收、支出总计1187.36万元。与2020年相比，收、支出总计下降8.49万元，下降0.72%。主要变动原因是工资、社保正常增长幅度没有资产采购减少幅度大。</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（图1：收、支决算总计变动情况图）（柱状图）</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drawing>
          <wp:inline distT="0" distB="0" distL="0" distR="0">
            <wp:extent cx="5279390" cy="2381250"/>
            <wp:effectExtent l="19050" t="0" r="16451" b="0"/>
            <wp:docPr id="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line="480" w:lineRule="auto"/>
        <w:ind w:firstLine="643" w:firstLineChars="200"/>
        <w:rPr>
          <w:rFonts w:ascii="黑体" w:hAnsi="黑体" w:eastAsia="黑体"/>
          <w:b/>
          <w:bCs/>
          <w:sz w:val="32"/>
          <w:szCs w:val="32"/>
        </w:rPr>
      </w:pPr>
      <w:r>
        <w:rPr>
          <w:rFonts w:hint="eastAsia" w:ascii="黑体" w:hAnsi="黑体" w:eastAsia="黑体"/>
          <w:b/>
          <w:bCs/>
          <w:sz w:val="32"/>
          <w:szCs w:val="32"/>
        </w:rPr>
        <w:t>二、</w:t>
      </w:r>
      <w:r>
        <w:rPr>
          <w:rFonts w:hint="eastAsia" w:ascii="黑体" w:hAnsi="黑体" w:eastAsia="黑体"/>
          <w:b/>
          <w:bCs/>
          <w:sz w:val="32"/>
          <w:szCs w:val="32"/>
        </w:rPr>
        <w:tab/>
      </w:r>
      <w:r>
        <w:rPr>
          <w:rFonts w:hint="eastAsia" w:ascii="黑体" w:hAnsi="黑体" w:eastAsia="黑体"/>
          <w:b/>
          <w:bCs/>
          <w:sz w:val="32"/>
          <w:szCs w:val="32"/>
        </w:rPr>
        <w:t>收入决算情况说明</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2021年本年收入合计1063.08万元，其中：一般公共预算财政拨款收入970.97万元，占91.34%；政府性基金预算财政拨款收入92.1万元，占8.66%；国有资本经营预算财政拨款收入0万元，占0%；上级补助收入0万元，占0%；事业收入0万元，占0%；经营收入0万元，占0%；附属单位上缴收入0万元，占0%；其他收入0.01万元，占0.00%。</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（图2：收入决算结构图）（饼状图）</w:t>
      </w:r>
    </w:p>
    <w:p>
      <w:pPr>
        <w:spacing w:line="480" w:lineRule="auto"/>
        <w:ind w:firstLine="600" w:firstLineChars="200"/>
        <w:rPr>
          <w:rFonts w:asciiTheme="minorEastAsia" w:hAnsiTheme="minorEastAsia" w:eastAsiaTheme="minorEastAsia"/>
          <w:sz w:val="30"/>
          <w:szCs w:val="30"/>
        </w:rPr>
      </w:pPr>
      <w:r>
        <w:rPr>
          <w:rFonts w:asciiTheme="minorEastAsia" w:hAnsiTheme="minorEastAsia" w:eastAsiaTheme="minorEastAsia"/>
          <w:sz w:val="30"/>
          <w:szCs w:val="30"/>
        </w:rPr>
        <w:drawing>
          <wp:inline distT="0" distB="0" distL="0" distR="0">
            <wp:extent cx="5279390" cy="2306955"/>
            <wp:effectExtent l="19050" t="0" r="16451"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480" w:lineRule="auto"/>
        <w:ind w:firstLine="600" w:firstLineChars="200"/>
        <w:rPr>
          <w:rFonts w:asciiTheme="minorEastAsia" w:hAnsiTheme="minorEastAsia" w:eastAsiaTheme="minorEastAsia"/>
          <w:sz w:val="30"/>
          <w:szCs w:val="30"/>
        </w:rPr>
      </w:pPr>
    </w:p>
    <w:p>
      <w:pPr>
        <w:spacing w:line="480" w:lineRule="auto"/>
        <w:ind w:firstLine="643" w:firstLineChars="200"/>
        <w:rPr>
          <w:rFonts w:ascii="黑体" w:hAnsi="黑体" w:eastAsia="黑体"/>
          <w:b/>
          <w:bCs/>
          <w:sz w:val="32"/>
          <w:szCs w:val="32"/>
        </w:rPr>
      </w:pPr>
      <w:r>
        <w:rPr>
          <w:rFonts w:hint="eastAsia" w:ascii="黑体" w:hAnsi="黑体" w:eastAsia="黑体"/>
          <w:b/>
          <w:bCs/>
          <w:sz w:val="32"/>
          <w:szCs w:val="32"/>
        </w:rPr>
        <w:t>三、</w:t>
      </w:r>
      <w:r>
        <w:rPr>
          <w:rFonts w:hint="eastAsia" w:ascii="黑体" w:hAnsi="黑体" w:eastAsia="黑体"/>
          <w:b/>
          <w:bCs/>
          <w:sz w:val="32"/>
          <w:szCs w:val="32"/>
        </w:rPr>
        <w:tab/>
      </w:r>
      <w:r>
        <w:rPr>
          <w:rFonts w:hint="eastAsia" w:ascii="黑体" w:hAnsi="黑体" w:eastAsia="黑体"/>
          <w:b/>
          <w:bCs/>
          <w:sz w:val="32"/>
          <w:szCs w:val="32"/>
        </w:rPr>
        <w:t>支出决算情况说明</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2021年本年支出合计1187.36万元，其中：基本支出968.25万元，占81.55%；项目支出219.11万元，占18.45%；上缴上级支出0万元，占0%；经营支出0万元，占0%；对附属单位补助支出0万元，占0%。</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（图3：支出决算结构图）（饼状图）</w:t>
      </w:r>
    </w:p>
    <w:p>
      <w:pPr>
        <w:spacing w:line="480" w:lineRule="auto"/>
        <w:ind w:firstLine="600" w:firstLineChars="200"/>
        <w:rPr>
          <w:rFonts w:asciiTheme="minorEastAsia" w:hAnsiTheme="minorEastAsia" w:eastAsiaTheme="minorEastAsia"/>
          <w:sz w:val="30"/>
          <w:szCs w:val="30"/>
        </w:rPr>
      </w:pPr>
      <w:r>
        <w:rPr>
          <w:rFonts w:asciiTheme="minorEastAsia" w:hAnsiTheme="minorEastAsia" w:eastAsiaTheme="minorEastAsia"/>
          <w:sz w:val="30"/>
          <w:szCs w:val="30"/>
        </w:rPr>
        <w:drawing>
          <wp:inline distT="0" distB="0" distL="0" distR="0">
            <wp:extent cx="5277485" cy="2115820"/>
            <wp:effectExtent l="19050" t="0" r="18356"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480" w:lineRule="auto"/>
        <w:ind w:firstLine="600" w:firstLineChars="200"/>
        <w:rPr>
          <w:rFonts w:asciiTheme="minorEastAsia" w:hAnsiTheme="minorEastAsia" w:eastAsiaTheme="minorEastAsia"/>
          <w:sz w:val="30"/>
          <w:szCs w:val="30"/>
        </w:rPr>
      </w:pPr>
    </w:p>
    <w:p>
      <w:pPr>
        <w:spacing w:line="480" w:lineRule="auto"/>
        <w:ind w:firstLine="643" w:firstLineChars="200"/>
        <w:rPr>
          <w:rFonts w:ascii="黑体" w:hAnsi="黑体" w:eastAsia="黑体"/>
          <w:b/>
          <w:bCs/>
          <w:sz w:val="32"/>
          <w:szCs w:val="32"/>
        </w:rPr>
      </w:pPr>
      <w:r>
        <w:rPr>
          <w:rFonts w:hint="eastAsia" w:ascii="黑体" w:hAnsi="黑体" w:eastAsia="黑体"/>
          <w:b/>
          <w:bCs/>
          <w:sz w:val="32"/>
          <w:szCs w:val="32"/>
        </w:rPr>
        <w:t>四、财政拨款收入支出决算总体情况说明</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2021年财政拨款收、支出总计1186.3万元。与2020年相比，财政拨款收、支出总计增加7.43万元，增长0.63%。主要变动原因是工资和社保正常增长所致。</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（图4：财政拨款收、支决算总计变动情况）（柱状图）</w:t>
      </w:r>
    </w:p>
    <w:p>
      <w:pPr>
        <w:spacing w:line="480" w:lineRule="auto"/>
        <w:ind w:firstLine="600" w:firstLineChars="200"/>
        <w:rPr>
          <w:rFonts w:asciiTheme="minorEastAsia" w:hAnsiTheme="minorEastAsia" w:eastAsiaTheme="minorEastAsia"/>
          <w:sz w:val="30"/>
          <w:szCs w:val="30"/>
        </w:rPr>
      </w:pPr>
      <w:r>
        <w:rPr>
          <w:rFonts w:asciiTheme="minorEastAsia" w:hAnsiTheme="minorEastAsia" w:eastAsiaTheme="minorEastAsia"/>
          <w:sz w:val="30"/>
          <w:szCs w:val="30"/>
        </w:rPr>
        <w:drawing>
          <wp:inline distT="0" distB="0" distL="0" distR="0">
            <wp:extent cx="5279390" cy="1881505"/>
            <wp:effectExtent l="19050" t="0" r="16451" b="3987"/>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480" w:lineRule="auto"/>
        <w:ind w:firstLine="600" w:firstLineChars="200"/>
        <w:rPr>
          <w:rFonts w:asciiTheme="minorEastAsia" w:hAnsiTheme="minorEastAsia" w:eastAsiaTheme="minorEastAsia"/>
          <w:sz w:val="30"/>
          <w:szCs w:val="30"/>
        </w:rPr>
      </w:pPr>
    </w:p>
    <w:p>
      <w:pPr>
        <w:spacing w:line="480" w:lineRule="auto"/>
        <w:ind w:firstLine="643" w:firstLineChars="200"/>
        <w:rPr>
          <w:rFonts w:ascii="黑体" w:hAnsi="黑体" w:eastAsia="黑体"/>
          <w:b/>
          <w:bCs/>
          <w:sz w:val="32"/>
          <w:szCs w:val="32"/>
        </w:rPr>
      </w:pPr>
      <w:r>
        <w:rPr>
          <w:rFonts w:hint="eastAsia" w:ascii="黑体" w:hAnsi="黑体" w:eastAsia="黑体"/>
          <w:b/>
          <w:bCs/>
          <w:sz w:val="32"/>
          <w:szCs w:val="32"/>
        </w:rPr>
        <w:t>五、一般公共预算财政拨款支出决算情况说明</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（一）一般公共预算财政拨款支出决算总体情况</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2021年一般公共预算财政拨款支出1094.20万元，占本年支出合计的92.15%。与2020年相比，一般公共预算财政拨款支出减少55.17万元，下降4.8%。主要变动原因是工资福利增加的幅度比商品和服务支出、资本性支出减少幅度小。</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（图5：一般公共预算财政拨款支出决算变动情况）（柱状图）</w:t>
      </w:r>
    </w:p>
    <w:p>
      <w:pPr>
        <w:spacing w:line="480" w:lineRule="auto"/>
        <w:ind w:firstLine="600" w:firstLineChars="200"/>
        <w:rPr>
          <w:rFonts w:asciiTheme="minorEastAsia" w:hAnsiTheme="minorEastAsia" w:eastAsiaTheme="minorEastAsia"/>
          <w:sz w:val="30"/>
          <w:szCs w:val="30"/>
        </w:rPr>
      </w:pPr>
      <w:r>
        <w:rPr>
          <w:rFonts w:asciiTheme="minorEastAsia" w:hAnsiTheme="minorEastAsia" w:eastAsiaTheme="minorEastAsia"/>
          <w:sz w:val="30"/>
          <w:szCs w:val="30"/>
        </w:rPr>
        <w:drawing>
          <wp:inline distT="0" distB="0" distL="0" distR="0">
            <wp:extent cx="5277485" cy="2115820"/>
            <wp:effectExtent l="19050" t="0" r="18356"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（二）一般公共预算财政拨款支出决算结构情况</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2021年一般公共预算财政拨款支出1094.2万元，主要用于以下方面:一般公共服务（类）支出0万元，占0%；公共安全支出（类）886.3万元，占81%；教育支出（类）0万元，占0%；科学技术（类）支出0万元，占0%；文化旅游体育与传媒（类）支出0万元，占0%；社会保障和就业（类）支出72.5万元，占6.63%；卫生健康支出54.45万元，占4.97%；住房保障支出80.95万元，占7.4%。</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（图6：一般公共预算财政拨款支出决算结构）（饼状图）</w:t>
      </w:r>
    </w:p>
    <w:p>
      <w:pPr>
        <w:spacing w:line="480" w:lineRule="auto"/>
        <w:ind w:firstLine="600" w:firstLineChars="200"/>
        <w:rPr>
          <w:rFonts w:asciiTheme="minorEastAsia" w:hAnsiTheme="minorEastAsia" w:eastAsiaTheme="minorEastAsia"/>
          <w:sz w:val="30"/>
          <w:szCs w:val="30"/>
        </w:rPr>
      </w:pPr>
      <w:r>
        <w:rPr>
          <w:rFonts w:asciiTheme="minorEastAsia" w:hAnsiTheme="minorEastAsia" w:eastAsiaTheme="minorEastAsia"/>
          <w:sz w:val="30"/>
          <w:szCs w:val="30"/>
        </w:rPr>
        <w:drawing>
          <wp:inline distT="0" distB="0" distL="0" distR="0">
            <wp:extent cx="5277485" cy="2338705"/>
            <wp:effectExtent l="19050" t="0" r="18356" b="3987"/>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（三）一般公共预算财政拨款支出决算具体情况</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2021年一般公共预算支出决算数为1094.2，完成预算100%。其中：</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1.公共安全支出（类）检察（款）行政运行（项）:支出决算为748.08万元，完成预算100%。</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 公共安全支出（类）检察（款）一般行政管理事务（项）:支出决算为124.44万元，完成预算100%。</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3. 公共安全支出（类）检察（款）事业运行（项:支出决算为11.21万元，完成预算100%。</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4. 公共安全支出（类）检察（款）其他检察支出（项）:支出决算为2.58万元，完成预算100%。</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5. 社会保障和就业（类）行政事业单位离退休（款）未归口管理的行政单位离退休（项）:支出决算为22.18万元，完成预算100%。</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6. 社会保障和就业（类）行政事业单位离退休（款）机关事业单位基本养老保险缴费支出（项）:支出决算为50.31万元，完成预算100%。</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7. 医疗卫生与计划生育支出（类）行政事业单位医疗（款）行政单位医疗（项）:支出决算为49.69万元，完成预算97.83%决算数小于预算数的主要原因是2人调离。</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8. 医疗卫生与计划生育支出（类）行政事业单位医疗（款）事业单位医疗（项）:支出决算为0.83万元，完成预算100%。</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9. 医疗卫生与计划生育支出（类）行政事业单位医疗（款）公务员医疗补助（项）:支出决算为3.93万元，完成预算100%。</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10. 住房保障支出（类）住房改革支出（款）住房公积金（项）:支出决算为80.95万元，完成预算100%。</w:t>
      </w:r>
    </w:p>
    <w:p>
      <w:pPr>
        <w:spacing w:line="480" w:lineRule="auto"/>
        <w:ind w:firstLine="643" w:firstLineChars="200"/>
        <w:rPr>
          <w:rFonts w:ascii="黑体" w:hAnsi="黑体" w:eastAsia="黑体"/>
          <w:b/>
          <w:bCs/>
          <w:sz w:val="32"/>
          <w:szCs w:val="32"/>
        </w:rPr>
      </w:pPr>
      <w:r>
        <w:rPr>
          <w:rFonts w:hint="eastAsia" w:ascii="黑体" w:hAnsi="黑体" w:eastAsia="黑体"/>
          <w:b/>
          <w:bCs/>
          <w:sz w:val="32"/>
          <w:szCs w:val="32"/>
        </w:rPr>
        <w:t>六、一般公共预算财政拨款基本支出决算情况说明</w:t>
      </w:r>
      <w:r>
        <w:rPr>
          <w:rFonts w:hint="eastAsia" w:ascii="黑体" w:hAnsi="黑体" w:eastAsia="黑体"/>
          <w:b/>
          <w:bCs/>
          <w:sz w:val="32"/>
          <w:szCs w:val="32"/>
        </w:rPr>
        <w:tab/>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2021年一般公共预算财政拨款基本支出1094.2万元，其中：</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人员经费862.2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480" w:lineRule="auto"/>
        <w:rPr>
          <w:rFonts w:asciiTheme="minorEastAsia" w:hAnsiTheme="minorEastAsia" w:eastAsiaTheme="minorEastAsia"/>
          <w:sz w:val="30"/>
          <w:szCs w:val="30"/>
        </w:rPr>
      </w:pPr>
      <w:r>
        <w:rPr>
          <w:rFonts w:hint="eastAsia" w:asciiTheme="minorEastAsia" w:hAnsiTheme="minorEastAsia" w:eastAsiaTheme="minorEastAsia"/>
          <w:sz w:val="30"/>
          <w:szCs w:val="30"/>
        </w:rPr>
        <w:t xml:space="preserve">    公用经费232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480" w:lineRule="auto"/>
        <w:ind w:firstLine="643" w:firstLineChars="200"/>
        <w:rPr>
          <w:rFonts w:ascii="黑体" w:hAnsi="黑体" w:eastAsia="黑体"/>
          <w:b/>
          <w:bCs/>
          <w:sz w:val="32"/>
          <w:szCs w:val="32"/>
        </w:rPr>
      </w:pPr>
      <w:r>
        <w:rPr>
          <w:rFonts w:hint="eastAsia" w:ascii="黑体" w:hAnsi="黑体" w:eastAsia="黑体"/>
          <w:b/>
          <w:bCs/>
          <w:sz w:val="32"/>
          <w:szCs w:val="32"/>
        </w:rPr>
        <w:t>七、“三公”经费财政拨款支出决算情况说明</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（一）“三公”经费财政拨款支出决算总体情况说明</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2021年“三公”经费财政拨款支出决算为4.23万元，完成预算</w:t>
      </w:r>
      <w:r>
        <w:rPr>
          <w:rFonts w:asciiTheme="minorEastAsia" w:hAnsiTheme="minorEastAsia" w:eastAsiaTheme="minorEastAsia"/>
          <w:sz w:val="30"/>
          <w:szCs w:val="30"/>
        </w:rPr>
        <w:t>32.94</w:t>
      </w:r>
      <w:r>
        <w:rPr>
          <w:rFonts w:hint="eastAsia" w:asciiTheme="minorEastAsia" w:hAnsiTheme="minorEastAsia" w:eastAsiaTheme="minorEastAsia"/>
          <w:sz w:val="30"/>
          <w:szCs w:val="30"/>
        </w:rPr>
        <w:t>%。</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（二）“三公”经费财政拨款支出决算具体情况说明</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2021年“三公”经费财政拨款支出决算中，因公出国（境）费支出决算0万元，占0%；公务用车购置及运行维护费支出决算4.23万元，占100%；公务接待费支出决算0万元，占0%。具体情况如下：</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（图7：“三公”经费财政拨款支出结构）（饼状图）</w:t>
      </w:r>
    </w:p>
    <w:p>
      <w:pPr>
        <w:spacing w:line="480" w:lineRule="auto"/>
        <w:ind w:firstLine="600" w:firstLineChars="200"/>
        <w:rPr>
          <w:rFonts w:asciiTheme="minorEastAsia" w:hAnsiTheme="minorEastAsia" w:eastAsiaTheme="minorEastAsia"/>
          <w:sz w:val="30"/>
          <w:szCs w:val="30"/>
        </w:rPr>
      </w:pPr>
      <w:r>
        <w:rPr>
          <w:rFonts w:asciiTheme="minorEastAsia" w:hAnsiTheme="minorEastAsia" w:eastAsiaTheme="minorEastAsia"/>
          <w:sz w:val="30"/>
          <w:szCs w:val="30"/>
        </w:rPr>
        <w:drawing>
          <wp:inline distT="0" distB="0" distL="0" distR="0">
            <wp:extent cx="5275580" cy="2253615"/>
            <wp:effectExtent l="19050" t="0" r="20261" b="0"/>
            <wp:docPr id="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1.因公出国（境）经费支出0万元。</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2.公务用车购置及运行维护费支出4.23万元,完成预算</w:t>
      </w:r>
      <w:r>
        <w:rPr>
          <w:rFonts w:asciiTheme="minorEastAsia" w:hAnsiTheme="minorEastAsia" w:eastAsiaTheme="minorEastAsia"/>
          <w:sz w:val="30"/>
          <w:szCs w:val="30"/>
        </w:rPr>
        <w:t>33.84</w:t>
      </w:r>
      <w:r>
        <w:rPr>
          <w:rFonts w:hint="eastAsia" w:asciiTheme="minorEastAsia" w:hAnsiTheme="minorEastAsia" w:eastAsiaTheme="minorEastAsia"/>
          <w:sz w:val="30"/>
          <w:szCs w:val="30"/>
        </w:rPr>
        <w:t>%。公务用车购置及运行维护费支出决算比2020年减少0.73万元，下降14.72%。主要原因是是严格管理，尽量拼车外出,上年油卡充值的部分未使用完,结转至今年使用。</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其中：公务用车购置支出0万元。全年按规定更新购置公务用车0辆，金额0万元。截至2021年12月底，单位共有公务用车5辆，其中：轿车4辆、越野车5辆。</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公务用车运行维护费支出4.23万元。主要用于执法工作等所需的公务用车燃料费、维修费、过路过桥费、保险费等支出。</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3.公务接待费支出0万元，完成预算0%。公务接待费支出决算比2020年减少0.34万元，下降100%。主要原因是本年未发生接待支出。其中：</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国内公务接待支出0万元。国内公务接待0批次，0人次（不包括陪同人员），共计支出0万元。</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外事接待支出0万元，外事接待0批次，0人，共计支出0万元。</w:t>
      </w:r>
    </w:p>
    <w:p>
      <w:pPr>
        <w:spacing w:line="480" w:lineRule="auto"/>
        <w:ind w:firstLine="600" w:firstLineChars="200"/>
        <w:rPr>
          <w:rFonts w:asciiTheme="minorEastAsia" w:hAnsiTheme="minorEastAsia" w:eastAsiaTheme="minorEastAsia"/>
          <w:sz w:val="30"/>
          <w:szCs w:val="30"/>
        </w:rPr>
      </w:pPr>
    </w:p>
    <w:p>
      <w:pPr>
        <w:spacing w:line="480" w:lineRule="auto"/>
        <w:ind w:firstLine="643" w:firstLineChars="200"/>
        <w:rPr>
          <w:rFonts w:ascii="黑体" w:hAnsi="黑体" w:eastAsia="黑体"/>
          <w:b/>
          <w:bCs/>
          <w:sz w:val="32"/>
          <w:szCs w:val="32"/>
        </w:rPr>
      </w:pPr>
      <w:r>
        <w:rPr>
          <w:rFonts w:hint="eastAsia" w:ascii="黑体" w:hAnsi="黑体" w:eastAsia="黑体"/>
          <w:b/>
          <w:bCs/>
          <w:sz w:val="32"/>
          <w:szCs w:val="32"/>
        </w:rPr>
        <w:t>八、政府性基金预算支出决算情况说明</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2021年政府性基金预算财政拨款支出92.1万元。</w:t>
      </w:r>
    </w:p>
    <w:p>
      <w:pPr>
        <w:spacing w:line="480" w:lineRule="auto"/>
        <w:ind w:firstLine="600" w:firstLineChars="200"/>
        <w:rPr>
          <w:rFonts w:asciiTheme="minorEastAsia" w:hAnsiTheme="minorEastAsia" w:eastAsiaTheme="minorEastAsia"/>
          <w:sz w:val="30"/>
          <w:szCs w:val="30"/>
        </w:rPr>
      </w:pPr>
    </w:p>
    <w:p>
      <w:pPr>
        <w:spacing w:line="480" w:lineRule="auto"/>
        <w:ind w:firstLine="643" w:firstLineChars="200"/>
        <w:rPr>
          <w:rFonts w:ascii="黑体" w:hAnsi="黑体" w:eastAsia="黑体"/>
          <w:b/>
          <w:bCs/>
          <w:sz w:val="32"/>
          <w:szCs w:val="32"/>
        </w:rPr>
      </w:pPr>
      <w:r>
        <w:rPr>
          <w:rFonts w:hint="eastAsia" w:ascii="黑体" w:hAnsi="黑体" w:eastAsia="黑体"/>
          <w:b/>
          <w:bCs/>
          <w:sz w:val="32"/>
          <w:szCs w:val="32"/>
        </w:rPr>
        <w:t>九、国有资本经营预算支出决算情况说明</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2021年国有资本经营预算财政拨款支出0万元。</w:t>
      </w:r>
    </w:p>
    <w:p>
      <w:pPr>
        <w:spacing w:line="480" w:lineRule="auto"/>
        <w:ind w:firstLine="600" w:firstLineChars="200"/>
        <w:rPr>
          <w:rFonts w:asciiTheme="minorEastAsia" w:hAnsiTheme="minorEastAsia" w:eastAsiaTheme="minorEastAsia"/>
          <w:sz w:val="30"/>
          <w:szCs w:val="30"/>
        </w:rPr>
      </w:pPr>
    </w:p>
    <w:p>
      <w:pPr>
        <w:spacing w:line="480" w:lineRule="auto"/>
        <w:ind w:firstLine="643" w:firstLineChars="200"/>
        <w:rPr>
          <w:rFonts w:ascii="黑体" w:hAnsi="黑体" w:eastAsia="黑体"/>
          <w:b/>
          <w:bCs/>
          <w:sz w:val="32"/>
          <w:szCs w:val="32"/>
        </w:rPr>
      </w:pPr>
      <w:r>
        <w:rPr>
          <w:rFonts w:hint="eastAsia" w:ascii="黑体" w:hAnsi="黑体" w:eastAsia="黑体"/>
          <w:b/>
          <w:bCs/>
          <w:sz w:val="32"/>
          <w:szCs w:val="32"/>
        </w:rPr>
        <w:t>十、其他重要事项的情况说明</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（一）机关运行经费支出情况</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2021年，攀枝花市西区人民检察院机关运行经费支出104.99万元，比2020年减少3.29万元，下降3.04%。主要原因是受疫情影响，办公费、差旅费、培训费、维护费、公车运险费等都有所下降。</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（二）政府采购支出情况</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2021年，攀枝花市西区人民检察院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（三）国有资产占有使用情况</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截至2021年12月31日，攀枝花市西区人民检察院共有车辆5辆，其中：主要领导干部用车0辆、机要通信用车0辆、应急保障用车0辆、执法执勤用车5辆，执法执勤用车主要是用于日常执法办案。单价50万元以上通用设备1台（套），单价100万元以上专用设备0台（套）。</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（四）预算绩效管理情况</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根据预算绩效管理要求，本单位在2021年度预算编制阶段，组织对聘用制书记员经费项目等4个项目开展了预算事前绩效评估，对4个项目编制了绩效目标，预算执行过程中，选取8个项目开展绩效监控，年终执行完毕后，对3个项目开展了绩效自评.</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2021年特定目标类部门预算项目绩效目标自评表见附件（第四部分）。</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本部门按要求对2021年部门整体支出开展绩效自评，从评价情况来看区级项目完成预算率100%。本部门还自行组织了3个项目支出绩效评价，从评价情况来看基本支出和运转类支出保障本部门机构正常运转、完成日常工作任务以及我院承担的其他相关工作。具体完成情况:</w:t>
      </w:r>
    </w:p>
    <w:p>
      <w:pPr>
        <w:spacing w:line="480" w:lineRule="auto"/>
        <w:rPr>
          <w:rFonts w:asciiTheme="minorEastAsia" w:hAnsiTheme="minorEastAsia" w:eastAsiaTheme="minorEastAsia"/>
          <w:sz w:val="30"/>
          <w:szCs w:val="30"/>
        </w:rPr>
      </w:pPr>
      <w:r>
        <w:rPr>
          <w:rFonts w:hint="eastAsia" w:asciiTheme="minorEastAsia" w:hAnsiTheme="minorEastAsia" w:eastAsiaTheme="minorEastAsia"/>
          <w:sz w:val="30"/>
          <w:szCs w:val="30"/>
        </w:rPr>
        <w:t xml:space="preserve">    （1）聘用书记员经费项目绩效目标完成情况综述：项目全年预算数67.2万元，执行数67.2万元，完成预算100%。通过项目实施，保障办案顺利进行，提高检察机关办案质水平和质量，促进公平正义，维护社会和谐稳定。</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办案运行费用项目绩效目标完成情况综述。项目全年预算数12.9万元，执行数为12.9万元，完成预算的100%。通过项目实施，保障了派驻纪检组工作顺利展开，政法三级网畅通，视频会议室正常使用，司法被救助人经济困难得以缓解，检察工作正常运行。</w:t>
      </w:r>
    </w:p>
    <w:p>
      <w:pPr>
        <w:spacing w:line="480" w:lineRule="auto"/>
        <w:rPr>
          <w:rFonts w:asciiTheme="minorEastAsia" w:hAnsiTheme="minorEastAsia" w:eastAsiaTheme="minorEastAsia"/>
          <w:sz w:val="30"/>
          <w:szCs w:val="30"/>
        </w:rPr>
      </w:pPr>
      <w:r>
        <w:rPr>
          <w:rFonts w:hint="eastAsia" w:asciiTheme="minorEastAsia" w:hAnsiTheme="minorEastAsia" w:eastAsiaTheme="minorEastAsia"/>
          <w:sz w:val="30"/>
          <w:szCs w:val="30"/>
        </w:rPr>
        <w:t xml:space="preserve">    （3）政法队伍教育整顿氛围营造专项经费目绩效目标完成情况综述。项目全年预算数12万元，执行数为12万元，完成预算的100%。通过项目实施，保障我院检察政法教育整顿工作以及检察业务宣传工作的开展，提高了检察工作人员业务素质，促进了社会公平正义。</w:t>
      </w:r>
    </w:p>
    <w:tbl>
      <w:tblPr>
        <w:tblStyle w:val="8"/>
        <w:tblW w:w="9260" w:type="dxa"/>
        <w:tblInd w:w="91" w:type="dxa"/>
        <w:tblLayout w:type="autofit"/>
        <w:tblCellMar>
          <w:top w:w="0" w:type="dxa"/>
          <w:left w:w="108" w:type="dxa"/>
          <w:bottom w:w="0" w:type="dxa"/>
          <w:right w:w="108" w:type="dxa"/>
        </w:tblCellMar>
      </w:tblPr>
      <w:tblGrid>
        <w:gridCol w:w="740"/>
        <w:gridCol w:w="740"/>
        <w:gridCol w:w="760"/>
        <w:gridCol w:w="80"/>
        <w:gridCol w:w="60"/>
        <w:gridCol w:w="2260"/>
        <w:gridCol w:w="240"/>
        <w:gridCol w:w="180"/>
        <w:gridCol w:w="700"/>
        <w:gridCol w:w="360"/>
        <w:gridCol w:w="820"/>
        <w:gridCol w:w="360"/>
        <w:gridCol w:w="88"/>
        <w:gridCol w:w="432"/>
        <w:gridCol w:w="419"/>
        <w:gridCol w:w="581"/>
        <w:gridCol w:w="269"/>
        <w:gridCol w:w="171"/>
      </w:tblGrid>
      <w:tr>
        <w:tblPrEx>
          <w:tblCellMar>
            <w:top w:w="0" w:type="dxa"/>
            <w:left w:w="108" w:type="dxa"/>
            <w:bottom w:w="0" w:type="dxa"/>
            <w:right w:w="108" w:type="dxa"/>
          </w:tblCellMar>
        </w:tblPrEx>
        <w:trPr>
          <w:trHeight w:val="675" w:hRule="atLeast"/>
        </w:trPr>
        <w:tc>
          <w:tcPr>
            <w:tcW w:w="9260" w:type="dxa"/>
            <w:gridSpan w:val="18"/>
            <w:tcBorders>
              <w:top w:val="nil"/>
              <w:left w:val="nil"/>
              <w:bottom w:val="nil"/>
              <w:right w:val="nil"/>
            </w:tcBorders>
            <w:shd w:val="clear" w:color="auto" w:fill="auto"/>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项目（政策）资金绩效自评表</w:t>
            </w:r>
          </w:p>
        </w:tc>
      </w:tr>
      <w:tr>
        <w:tblPrEx>
          <w:tblCellMar>
            <w:top w:w="0" w:type="dxa"/>
            <w:left w:w="108" w:type="dxa"/>
            <w:bottom w:w="0" w:type="dxa"/>
            <w:right w:w="108" w:type="dxa"/>
          </w:tblCellMar>
        </w:tblPrEx>
        <w:trPr>
          <w:trHeight w:val="675" w:hRule="atLeast"/>
        </w:trPr>
        <w:tc>
          <w:tcPr>
            <w:tcW w:w="9260" w:type="dxa"/>
            <w:gridSpan w:val="18"/>
            <w:tcBorders>
              <w:top w:val="nil"/>
              <w:left w:val="nil"/>
              <w:bottom w:val="nil"/>
              <w:right w:val="nil"/>
            </w:tcBorders>
            <w:shd w:val="clear" w:color="auto" w:fill="auto"/>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w:t>
            </w:r>
            <w:r>
              <w:rPr>
                <w:rFonts w:ascii="宋体" w:hAnsi="宋体" w:cs="宋体"/>
                <w:b/>
                <w:bCs/>
                <w:kern w:val="0"/>
                <w:sz w:val="32"/>
                <w:szCs w:val="32"/>
              </w:rPr>
              <w:t>2021</w:t>
            </w:r>
            <w:r>
              <w:rPr>
                <w:rFonts w:hint="eastAsia" w:ascii="宋体" w:hAnsi="宋体" w:cs="宋体"/>
                <w:b/>
                <w:bCs/>
                <w:kern w:val="0"/>
                <w:sz w:val="32"/>
                <w:szCs w:val="32"/>
              </w:rPr>
              <w:t>年度）</w:t>
            </w:r>
          </w:p>
        </w:tc>
      </w:tr>
      <w:tr>
        <w:tblPrEx>
          <w:tblCellMar>
            <w:top w:w="0" w:type="dxa"/>
            <w:left w:w="108" w:type="dxa"/>
            <w:bottom w:w="0" w:type="dxa"/>
            <w:right w:w="108" w:type="dxa"/>
          </w:tblCellMar>
        </w:tblPrEx>
        <w:trPr>
          <w:gridAfter w:val="1"/>
          <w:wAfter w:w="171" w:type="dxa"/>
          <w:trHeight w:val="495" w:hRule="atLeast"/>
        </w:trPr>
        <w:tc>
          <w:tcPr>
            <w:tcW w:w="238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专项（项目）名称</w:t>
            </w:r>
          </w:p>
        </w:tc>
        <w:tc>
          <w:tcPr>
            <w:tcW w:w="6709" w:type="dxa"/>
            <w:gridSpan w:val="1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聘用书记员经费</w:t>
            </w:r>
          </w:p>
        </w:tc>
      </w:tr>
      <w:tr>
        <w:tblPrEx>
          <w:tblCellMar>
            <w:top w:w="0" w:type="dxa"/>
            <w:left w:w="108" w:type="dxa"/>
            <w:bottom w:w="0" w:type="dxa"/>
            <w:right w:w="108" w:type="dxa"/>
          </w:tblCellMar>
        </w:tblPrEx>
        <w:trPr>
          <w:gridAfter w:val="1"/>
          <w:wAfter w:w="171" w:type="dxa"/>
          <w:trHeight w:val="495" w:hRule="atLeast"/>
        </w:trPr>
        <w:tc>
          <w:tcPr>
            <w:tcW w:w="238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项目主管单位</w:t>
            </w:r>
          </w:p>
        </w:tc>
        <w:tc>
          <w:tcPr>
            <w:tcW w:w="6709" w:type="dxa"/>
            <w:gridSpan w:val="1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攀枝花市人民检察院</w:t>
            </w:r>
          </w:p>
        </w:tc>
      </w:tr>
      <w:tr>
        <w:tblPrEx>
          <w:tblCellMar>
            <w:top w:w="0" w:type="dxa"/>
            <w:left w:w="108" w:type="dxa"/>
            <w:bottom w:w="0" w:type="dxa"/>
            <w:right w:w="108" w:type="dxa"/>
          </w:tblCellMar>
        </w:tblPrEx>
        <w:trPr>
          <w:gridAfter w:val="1"/>
          <w:wAfter w:w="171" w:type="dxa"/>
          <w:trHeight w:val="495" w:hRule="atLeast"/>
        </w:trPr>
        <w:tc>
          <w:tcPr>
            <w:tcW w:w="2380"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项目实施单位</w:t>
            </w:r>
          </w:p>
        </w:tc>
        <w:tc>
          <w:tcPr>
            <w:tcW w:w="6709" w:type="dxa"/>
            <w:gridSpan w:val="1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攀枝花市西区人民检察院</w:t>
            </w:r>
          </w:p>
        </w:tc>
      </w:tr>
      <w:tr>
        <w:tblPrEx>
          <w:tblCellMar>
            <w:top w:w="0" w:type="dxa"/>
            <w:left w:w="108" w:type="dxa"/>
            <w:bottom w:w="0" w:type="dxa"/>
            <w:right w:w="108" w:type="dxa"/>
          </w:tblCellMar>
        </w:tblPrEx>
        <w:trPr>
          <w:gridAfter w:val="1"/>
          <w:wAfter w:w="171" w:type="dxa"/>
          <w:trHeight w:val="495" w:hRule="atLeast"/>
        </w:trPr>
        <w:tc>
          <w:tcPr>
            <w:tcW w:w="2380"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50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24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全年预算数</w:t>
            </w:r>
          </w:p>
        </w:tc>
        <w:tc>
          <w:tcPr>
            <w:tcW w:w="118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实际完成数</w:t>
            </w:r>
          </w:p>
        </w:tc>
        <w:tc>
          <w:tcPr>
            <w:tcW w:w="1789"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执行率（%）</w:t>
            </w:r>
          </w:p>
        </w:tc>
      </w:tr>
      <w:tr>
        <w:tblPrEx>
          <w:tblCellMar>
            <w:top w:w="0" w:type="dxa"/>
            <w:left w:w="108" w:type="dxa"/>
            <w:bottom w:w="0" w:type="dxa"/>
            <w:right w:w="108" w:type="dxa"/>
          </w:tblCellMar>
        </w:tblPrEx>
        <w:trPr>
          <w:gridAfter w:val="1"/>
          <w:wAfter w:w="171" w:type="dxa"/>
          <w:trHeight w:val="495" w:hRule="atLeast"/>
        </w:trPr>
        <w:tc>
          <w:tcPr>
            <w:tcW w:w="2380"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50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年度资金总额：</w:t>
            </w:r>
          </w:p>
        </w:tc>
        <w:tc>
          <w:tcPr>
            <w:tcW w:w="124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672000</w:t>
            </w:r>
          </w:p>
        </w:tc>
        <w:tc>
          <w:tcPr>
            <w:tcW w:w="118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672000</w:t>
            </w:r>
          </w:p>
        </w:tc>
        <w:tc>
          <w:tcPr>
            <w:tcW w:w="1789"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100%</w:t>
            </w:r>
          </w:p>
        </w:tc>
      </w:tr>
      <w:tr>
        <w:tblPrEx>
          <w:tblCellMar>
            <w:top w:w="0" w:type="dxa"/>
            <w:left w:w="108" w:type="dxa"/>
            <w:bottom w:w="0" w:type="dxa"/>
            <w:right w:w="108" w:type="dxa"/>
          </w:tblCellMar>
        </w:tblPrEx>
        <w:trPr>
          <w:gridAfter w:val="1"/>
          <w:wAfter w:w="171" w:type="dxa"/>
          <w:trHeight w:val="615" w:hRule="atLeast"/>
        </w:trPr>
        <w:tc>
          <w:tcPr>
            <w:tcW w:w="2380"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50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其中：上级财政资金</w:t>
            </w:r>
          </w:p>
        </w:tc>
        <w:tc>
          <w:tcPr>
            <w:tcW w:w="124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18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789"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171" w:type="dxa"/>
          <w:trHeight w:val="660" w:hRule="atLeast"/>
        </w:trPr>
        <w:tc>
          <w:tcPr>
            <w:tcW w:w="2380"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50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本级财政资金</w:t>
            </w:r>
          </w:p>
        </w:tc>
        <w:tc>
          <w:tcPr>
            <w:tcW w:w="124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672000</w:t>
            </w:r>
          </w:p>
        </w:tc>
        <w:tc>
          <w:tcPr>
            <w:tcW w:w="118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672000</w:t>
            </w:r>
          </w:p>
        </w:tc>
        <w:tc>
          <w:tcPr>
            <w:tcW w:w="1789"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100%</w:t>
            </w:r>
          </w:p>
        </w:tc>
      </w:tr>
      <w:tr>
        <w:tblPrEx>
          <w:tblCellMar>
            <w:top w:w="0" w:type="dxa"/>
            <w:left w:w="108" w:type="dxa"/>
            <w:bottom w:w="0" w:type="dxa"/>
            <w:right w:w="108" w:type="dxa"/>
          </w:tblCellMar>
        </w:tblPrEx>
        <w:trPr>
          <w:gridAfter w:val="1"/>
          <w:wAfter w:w="171" w:type="dxa"/>
          <w:trHeight w:val="495"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414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年度设定目标</w:t>
            </w:r>
          </w:p>
        </w:tc>
        <w:tc>
          <w:tcPr>
            <w:tcW w:w="4209"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gridAfter w:val="1"/>
          <w:wAfter w:w="171" w:type="dxa"/>
          <w:trHeight w:val="66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140" w:type="dxa"/>
            <w:gridSpan w:val="6"/>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kern w:val="0"/>
                <w:sz w:val="24"/>
              </w:rPr>
            </w:pPr>
            <w:r>
              <w:rPr>
                <w:rFonts w:hint="eastAsia" w:ascii="宋体" w:hAnsi="宋体" w:cs="宋体"/>
                <w:kern w:val="0"/>
                <w:sz w:val="24"/>
              </w:rPr>
              <w:br w:type="textWrapping"/>
            </w:r>
            <w:r>
              <w:rPr>
                <w:rFonts w:hint="eastAsia" w:ascii="宋体" w:hAnsi="宋体" w:cs="宋体"/>
                <w:kern w:val="0"/>
                <w:sz w:val="24"/>
              </w:rPr>
              <w:t>保障12名书记员工资、社保等费用</w:t>
            </w:r>
          </w:p>
        </w:tc>
        <w:tc>
          <w:tcPr>
            <w:tcW w:w="4209"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保障12名书记员工资、社保等费用</w:t>
            </w:r>
          </w:p>
        </w:tc>
      </w:tr>
      <w:tr>
        <w:tblPrEx>
          <w:tblCellMar>
            <w:top w:w="0" w:type="dxa"/>
            <w:left w:w="108" w:type="dxa"/>
            <w:bottom w:w="0" w:type="dxa"/>
            <w:right w:w="108" w:type="dxa"/>
          </w:tblCellMar>
        </w:tblPrEx>
        <w:trPr>
          <w:gridAfter w:val="1"/>
          <w:wAfter w:w="171" w:type="dxa"/>
          <w:trHeight w:val="855"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40"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一级</w:t>
            </w:r>
            <w:r>
              <w:rPr>
                <w:rFonts w:hint="eastAsia" w:ascii="宋体" w:hAnsi="宋体" w:cs="宋体"/>
                <w:kern w:val="0"/>
                <w:sz w:val="24"/>
              </w:rPr>
              <w:br w:type="textWrapping"/>
            </w:r>
            <w:r>
              <w:rPr>
                <w:rFonts w:hint="eastAsia" w:ascii="宋体" w:hAnsi="宋体" w:cs="宋体"/>
                <w:kern w:val="0"/>
                <w:sz w:val="24"/>
              </w:rPr>
              <w:t>指标</w:t>
            </w:r>
          </w:p>
        </w:tc>
        <w:tc>
          <w:tcPr>
            <w:tcW w:w="90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250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24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年度指标值</w:t>
            </w:r>
          </w:p>
        </w:tc>
        <w:tc>
          <w:tcPr>
            <w:tcW w:w="118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实际完成数</w:t>
            </w:r>
          </w:p>
        </w:tc>
        <w:tc>
          <w:tcPr>
            <w:tcW w:w="939"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完成率（%）</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未完成原因和改进措施</w:t>
            </w:r>
          </w:p>
        </w:tc>
      </w:tr>
      <w:tr>
        <w:tblPrEx>
          <w:tblCellMar>
            <w:top w:w="0" w:type="dxa"/>
            <w:left w:w="108" w:type="dxa"/>
            <w:bottom w:w="0" w:type="dxa"/>
            <w:right w:w="108" w:type="dxa"/>
          </w:tblCellMar>
        </w:tblPrEx>
        <w:trPr>
          <w:gridAfter w:val="1"/>
          <w:wAfter w:w="171" w:type="dxa"/>
          <w:trHeight w:val="61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项目完成</w:t>
            </w:r>
          </w:p>
        </w:tc>
        <w:tc>
          <w:tcPr>
            <w:tcW w:w="900" w:type="dxa"/>
            <w:gridSpan w:val="3"/>
            <w:tcBorders>
              <w:top w:val="nil"/>
              <w:left w:val="nil"/>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数量指标</w:t>
            </w:r>
          </w:p>
        </w:tc>
        <w:tc>
          <w:tcPr>
            <w:tcW w:w="250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指标1：12名书记工资、社保级人员经费</w:t>
            </w:r>
          </w:p>
        </w:tc>
        <w:tc>
          <w:tcPr>
            <w:tcW w:w="1240"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672000</w:t>
            </w:r>
          </w:p>
        </w:tc>
        <w:tc>
          <w:tcPr>
            <w:tcW w:w="118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672000</w:t>
            </w:r>
          </w:p>
        </w:tc>
        <w:tc>
          <w:tcPr>
            <w:tcW w:w="939"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171" w:type="dxa"/>
          <w:trHeight w:val="66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900" w:type="dxa"/>
            <w:gridSpan w:val="3"/>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质量指标</w:t>
            </w:r>
          </w:p>
        </w:tc>
        <w:tc>
          <w:tcPr>
            <w:tcW w:w="250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指标1：保障书记员队伍稳定</w:t>
            </w:r>
          </w:p>
        </w:tc>
        <w:tc>
          <w:tcPr>
            <w:tcW w:w="1240"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保证</w:t>
            </w:r>
          </w:p>
        </w:tc>
        <w:tc>
          <w:tcPr>
            <w:tcW w:w="118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保证</w:t>
            </w:r>
          </w:p>
        </w:tc>
        <w:tc>
          <w:tcPr>
            <w:tcW w:w="939"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171" w:type="dxa"/>
          <w:trHeight w:val="61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900" w:type="dxa"/>
            <w:gridSpan w:val="3"/>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时效指标</w:t>
            </w:r>
          </w:p>
        </w:tc>
        <w:tc>
          <w:tcPr>
            <w:tcW w:w="250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指标1：完成年度</w:t>
            </w:r>
          </w:p>
        </w:tc>
        <w:tc>
          <w:tcPr>
            <w:tcW w:w="1240"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2021年</w:t>
            </w:r>
          </w:p>
        </w:tc>
        <w:tc>
          <w:tcPr>
            <w:tcW w:w="118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2021年</w:t>
            </w:r>
          </w:p>
        </w:tc>
        <w:tc>
          <w:tcPr>
            <w:tcW w:w="939"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171" w:type="dxa"/>
          <w:trHeight w:val="61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900" w:type="dxa"/>
            <w:gridSpan w:val="3"/>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成本指标</w:t>
            </w:r>
          </w:p>
        </w:tc>
        <w:tc>
          <w:tcPr>
            <w:tcW w:w="250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指标1：本级财政</w:t>
            </w:r>
          </w:p>
        </w:tc>
        <w:tc>
          <w:tcPr>
            <w:tcW w:w="1240"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672000</w:t>
            </w:r>
          </w:p>
        </w:tc>
        <w:tc>
          <w:tcPr>
            <w:tcW w:w="118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672000</w:t>
            </w:r>
          </w:p>
        </w:tc>
        <w:tc>
          <w:tcPr>
            <w:tcW w:w="939"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171" w:type="dxa"/>
          <w:trHeight w:val="49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900" w:type="dxa"/>
            <w:gridSpan w:val="3"/>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250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指标2：专款专用率</w:t>
            </w:r>
          </w:p>
        </w:tc>
        <w:tc>
          <w:tcPr>
            <w:tcW w:w="1240"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w:t>
            </w:r>
          </w:p>
        </w:tc>
        <w:tc>
          <w:tcPr>
            <w:tcW w:w="118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w:t>
            </w:r>
          </w:p>
        </w:tc>
        <w:tc>
          <w:tcPr>
            <w:tcW w:w="939"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171" w:type="dxa"/>
          <w:trHeight w:val="49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900" w:type="dxa"/>
            <w:gridSpan w:val="3"/>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社会效益</w:t>
            </w:r>
            <w:r>
              <w:rPr>
                <w:rFonts w:hint="eastAsia" w:ascii="宋体" w:hAnsi="宋体" w:cs="宋体"/>
                <w:kern w:val="0"/>
                <w:sz w:val="24"/>
              </w:rPr>
              <w:br w:type="textWrapping"/>
            </w:r>
            <w:r>
              <w:rPr>
                <w:rFonts w:hint="eastAsia" w:ascii="宋体" w:hAnsi="宋体" w:cs="宋体"/>
                <w:kern w:val="0"/>
                <w:sz w:val="24"/>
              </w:rPr>
              <w:t>指标</w:t>
            </w:r>
          </w:p>
        </w:tc>
        <w:tc>
          <w:tcPr>
            <w:tcW w:w="250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指标1： 社会公平公正</w:t>
            </w:r>
          </w:p>
        </w:tc>
        <w:tc>
          <w:tcPr>
            <w:tcW w:w="1240"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维护</w:t>
            </w:r>
          </w:p>
        </w:tc>
        <w:tc>
          <w:tcPr>
            <w:tcW w:w="118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维护</w:t>
            </w:r>
          </w:p>
        </w:tc>
        <w:tc>
          <w:tcPr>
            <w:tcW w:w="939"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171" w:type="dxa"/>
          <w:trHeight w:val="49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900" w:type="dxa"/>
            <w:gridSpan w:val="3"/>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250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指标2：社会和谐稳定</w:t>
            </w:r>
          </w:p>
        </w:tc>
        <w:tc>
          <w:tcPr>
            <w:tcW w:w="1240"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促进</w:t>
            </w:r>
          </w:p>
        </w:tc>
        <w:tc>
          <w:tcPr>
            <w:tcW w:w="118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促进</w:t>
            </w:r>
          </w:p>
        </w:tc>
        <w:tc>
          <w:tcPr>
            <w:tcW w:w="939"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171" w:type="dxa"/>
          <w:trHeight w:val="85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满意度指标</w:t>
            </w:r>
          </w:p>
        </w:tc>
        <w:tc>
          <w:tcPr>
            <w:tcW w:w="9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满意度指标</w:t>
            </w:r>
          </w:p>
        </w:tc>
        <w:tc>
          <w:tcPr>
            <w:tcW w:w="250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指标1：政法人员</w:t>
            </w:r>
          </w:p>
        </w:tc>
        <w:tc>
          <w:tcPr>
            <w:tcW w:w="1240"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满意</w:t>
            </w:r>
          </w:p>
        </w:tc>
        <w:tc>
          <w:tcPr>
            <w:tcW w:w="118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满意</w:t>
            </w:r>
          </w:p>
        </w:tc>
        <w:tc>
          <w:tcPr>
            <w:tcW w:w="939"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171" w:type="dxa"/>
          <w:trHeight w:val="600" w:hRule="atLeast"/>
        </w:trPr>
        <w:tc>
          <w:tcPr>
            <w:tcW w:w="9089" w:type="dxa"/>
            <w:gridSpan w:val="17"/>
            <w:tcBorders>
              <w:top w:val="nil"/>
              <w:left w:val="nil"/>
              <w:bottom w:val="nil"/>
              <w:right w:val="nil"/>
            </w:tcBorders>
            <w:shd w:val="clear" w:color="auto" w:fill="auto"/>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项目（政策）资金绩效自评表</w:t>
            </w:r>
          </w:p>
        </w:tc>
      </w:tr>
      <w:tr>
        <w:tblPrEx>
          <w:tblCellMar>
            <w:top w:w="0" w:type="dxa"/>
            <w:left w:w="108" w:type="dxa"/>
            <w:bottom w:w="0" w:type="dxa"/>
            <w:right w:w="108" w:type="dxa"/>
          </w:tblCellMar>
        </w:tblPrEx>
        <w:trPr>
          <w:gridAfter w:val="1"/>
          <w:wAfter w:w="171" w:type="dxa"/>
          <w:trHeight w:val="285" w:hRule="atLeast"/>
        </w:trPr>
        <w:tc>
          <w:tcPr>
            <w:tcW w:w="9089" w:type="dxa"/>
            <w:gridSpan w:val="17"/>
            <w:tcBorders>
              <w:top w:val="nil"/>
              <w:left w:val="nil"/>
              <w:bottom w:val="nil"/>
              <w:right w:val="nil"/>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w:t>
            </w:r>
            <w:r>
              <w:rPr>
                <w:kern w:val="0"/>
                <w:sz w:val="24"/>
              </w:rPr>
              <w:t>2021</w:t>
            </w:r>
            <w:r>
              <w:rPr>
                <w:rFonts w:hint="eastAsia" w:ascii="宋体" w:hAnsi="宋体" w:cs="宋体"/>
                <w:kern w:val="0"/>
                <w:sz w:val="24"/>
              </w:rPr>
              <w:t>年度）</w:t>
            </w:r>
          </w:p>
        </w:tc>
      </w:tr>
      <w:tr>
        <w:tblPrEx>
          <w:tblCellMar>
            <w:top w:w="0" w:type="dxa"/>
            <w:left w:w="108" w:type="dxa"/>
            <w:bottom w:w="0" w:type="dxa"/>
            <w:right w:w="108" w:type="dxa"/>
          </w:tblCellMar>
        </w:tblPrEx>
        <w:trPr>
          <w:gridAfter w:val="1"/>
          <w:wAfter w:w="171" w:type="dxa"/>
          <w:trHeight w:val="439" w:hRule="atLeast"/>
        </w:trPr>
        <w:tc>
          <w:tcPr>
            <w:tcW w:w="23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专项（项目）名称</w:t>
            </w:r>
          </w:p>
        </w:tc>
        <w:tc>
          <w:tcPr>
            <w:tcW w:w="6769" w:type="dxa"/>
            <w:gridSpan w:val="1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办案业务费</w:t>
            </w:r>
          </w:p>
        </w:tc>
      </w:tr>
      <w:tr>
        <w:tblPrEx>
          <w:tblCellMar>
            <w:top w:w="0" w:type="dxa"/>
            <w:left w:w="108" w:type="dxa"/>
            <w:bottom w:w="0" w:type="dxa"/>
            <w:right w:w="108" w:type="dxa"/>
          </w:tblCellMar>
        </w:tblPrEx>
        <w:trPr>
          <w:gridAfter w:val="1"/>
          <w:wAfter w:w="171" w:type="dxa"/>
          <w:trHeight w:val="439" w:hRule="atLeast"/>
        </w:trPr>
        <w:tc>
          <w:tcPr>
            <w:tcW w:w="23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项目主管单位</w:t>
            </w:r>
          </w:p>
        </w:tc>
        <w:tc>
          <w:tcPr>
            <w:tcW w:w="6769" w:type="dxa"/>
            <w:gridSpan w:val="1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攀枝花市人民检察院</w:t>
            </w:r>
          </w:p>
        </w:tc>
      </w:tr>
      <w:tr>
        <w:tblPrEx>
          <w:tblCellMar>
            <w:top w:w="0" w:type="dxa"/>
            <w:left w:w="108" w:type="dxa"/>
            <w:bottom w:w="0" w:type="dxa"/>
            <w:right w:w="108" w:type="dxa"/>
          </w:tblCellMar>
        </w:tblPrEx>
        <w:trPr>
          <w:gridAfter w:val="1"/>
          <w:wAfter w:w="171" w:type="dxa"/>
          <w:trHeight w:val="439" w:hRule="atLeast"/>
        </w:trPr>
        <w:tc>
          <w:tcPr>
            <w:tcW w:w="2320"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项目实施单位</w:t>
            </w:r>
          </w:p>
        </w:tc>
        <w:tc>
          <w:tcPr>
            <w:tcW w:w="6769" w:type="dxa"/>
            <w:gridSpan w:val="1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攀枝花市西区人民检察院</w:t>
            </w:r>
          </w:p>
        </w:tc>
      </w:tr>
      <w:tr>
        <w:tblPrEx>
          <w:tblCellMar>
            <w:top w:w="0" w:type="dxa"/>
            <w:left w:w="108" w:type="dxa"/>
            <w:bottom w:w="0" w:type="dxa"/>
            <w:right w:w="108" w:type="dxa"/>
          </w:tblCellMar>
        </w:tblPrEx>
        <w:trPr>
          <w:gridAfter w:val="1"/>
          <w:wAfter w:w="171" w:type="dxa"/>
          <w:trHeight w:val="439" w:hRule="atLeast"/>
        </w:trPr>
        <w:tc>
          <w:tcPr>
            <w:tcW w:w="2320"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740"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06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全年预算数</w:t>
            </w:r>
          </w:p>
        </w:tc>
        <w:tc>
          <w:tcPr>
            <w:tcW w:w="118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实际完成数</w:t>
            </w:r>
          </w:p>
        </w:tc>
        <w:tc>
          <w:tcPr>
            <w:tcW w:w="1789"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执行率（%）</w:t>
            </w:r>
          </w:p>
        </w:tc>
      </w:tr>
      <w:tr>
        <w:tblPrEx>
          <w:tblCellMar>
            <w:top w:w="0" w:type="dxa"/>
            <w:left w:w="108" w:type="dxa"/>
            <w:bottom w:w="0" w:type="dxa"/>
            <w:right w:w="108" w:type="dxa"/>
          </w:tblCellMar>
        </w:tblPrEx>
        <w:trPr>
          <w:gridAfter w:val="1"/>
          <w:wAfter w:w="171" w:type="dxa"/>
          <w:trHeight w:val="439" w:hRule="atLeast"/>
        </w:trPr>
        <w:tc>
          <w:tcPr>
            <w:tcW w:w="232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40"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年度资金总额：</w:t>
            </w:r>
          </w:p>
        </w:tc>
        <w:tc>
          <w:tcPr>
            <w:tcW w:w="106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129000</w:t>
            </w:r>
          </w:p>
        </w:tc>
        <w:tc>
          <w:tcPr>
            <w:tcW w:w="118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129000</w:t>
            </w:r>
          </w:p>
        </w:tc>
        <w:tc>
          <w:tcPr>
            <w:tcW w:w="1789"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100%</w:t>
            </w:r>
          </w:p>
        </w:tc>
      </w:tr>
      <w:tr>
        <w:tblPrEx>
          <w:tblCellMar>
            <w:top w:w="0" w:type="dxa"/>
            <w:left w:w="108" w:type="dxa"/>
            <w:bottom w:w="0" w:type="dxa"/>
            <w:right w:w="108" w:type="dxa"/>
          </w:tblCellMar>
        </w:tblPrEx>
        <w:trPr>
          <w:gridAfter w:val="1"/>
          <w:wAfter w:w="171" w:type="dxa"/>
          <w:trHeight w:val="439" w:hRule="atLeast"/>
        </w:trPr>
        <w:tc>
          <w:tcPr>
            <w:tcW w:w="232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40"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其中：上级财政资金</w:t>
            </w:r>
          </w:p>
        </w:tc>
        <w:tc>
          <w:tcPr>
            <w:tcW w:w="106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18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789"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171" w:type="dxa"/>
          <w:trHeight w:val="439" w:hRule="atLeast"/>
        </w:trPr>
        <w:tc>
          <w:tcPr>
            <w:tcW w:w="232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40"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本级财政资金</w:t>
            </w:r>
          </w:p>
        </w:tc>
        <w:tc>
          <w:tcPr>
            <w:tcW w:w="106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129000</w:t>
            </w:r>
          </w:p>
        </w:tc>
        <w:tc>
          <w:tcPr>
            <w:tcW w:w="118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129000</w:t>
            </w:r>
          </w:p>
        </w:tc>
        <w:tc>
          <w:tcPr>
            <w:tcW w:w="1789"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100%</w:t>
            </w:r>
          </w:p>
        </w:tc>
      </w:tr>
      <w:tr>
        <w:tblPrEx>
          <w:tblCellMar>
            <w:top w:w="0" w:type="dxa"/>
            <w:left w:w="108" w:type="dxa"/>
            <w:bottom w:w="0" w:type="dxa"/>
            <w:right w:w="108" w:type="dxa"/>
          </w:tblCellMar>
        </w:tblPrEx>
        <w:trPr>
          <w:gridAfter w:val="1"/>
          <w:wAfter w:w="171" w:type="dxa"/>
          <w:trHeight w:val="45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4320"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年度设定目标</w:t>
            </w:r>
          </w:p>
        </w:tc>
        <w:tc>
          <w:tcPr>
            <w:tcW w:w="4029"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gridAfter w:val="1"/>
          <w:wAfter w:w="171" w:type="dxa"/>
          <w:trHeight w:val="88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320" w:type="dxa"/>
            <w:gridSpan w:val="7"/>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cs="宋体"/>
                <w:kern w:val="0"/>
                <w:sz w:val="24"/>
              </w:rPr>
            </w:pPr>
            <w:r>
              <w:rPr>
                <w:rFonts w:hint="eastAsia" w:ascii="宋体" w:hAnsi="宋体" w:cs="宋体"/>
                <w:kern w:val="0"/>
                <w:sz w:val="24"/>
              </w:rPr>
              <w:br w:type="textWrapping"/>
            </w:r>
            <w:r>
              <w:rPr>
                <w:rFonts w:hint="eastAsia" w:ascii="宋体" w:hAnsi="宋体" w:cs="宋体"/>
                <w:kern w:val="0"/>
                <w:sz w:val="24"/>
              </w:rPr>
              <w:t>保证政法三级网络畅通，司法救助8人，多媒体会议室正常使用，派驻纪检组工作顺利开展</w:t>
            </w:r>
          </w:p>
        </w:tc>
        <w:tc>
          <w:tcPr>
            <w:tcW w:w="4029" w:type="dxa"/>
            <w:gridSpan w:val="9"/>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政法三级网络畅通，司法救助8人，多媒体会议室正常使用，派驻纪检组工作顺利开展</w:t>
            </w:r>
          </w:p>
        </w:tc>
      </w:tr>
      <w:tr>
        <w:tblPrEx>
          <w:tblCellMar>
            <w:top w:w="0" w:type="dxa"/>
            <w:left w:w="108" w:type="dxa"/>
            <w:bottom w:w="0" w:type="dxa"/>
            <w:right w:w="108" w:type="dxa"/>
          </w:tblCellMar>
        </w:tblPrEx>
        <w:trPr>
          <w:gridAfter w:val="1"/>
          <w:wAfter w:w="171" w:type="dxa"/>
          <w:trHeight w:val="108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40"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一级</w:t>
            </w:r>
            <w:r>
              <w:rPr>
                <w:rFonts w:hint="eastAsia" w:ascii="宋体" w:hAnsi="宋体" w:cs="宋体"/>
                <w:kern w:val="0"/>
                <w:sz w:val="24"/>
              </w:rPr>
              <w:br w:type="textWrapping"/>
            </w:r>
            <w:r>
              <w:rPr>
                <w:rFonts w:hint="eastAsia" w:ascii="宋体" w:hAnsi="宋体" w:cs="宋体"/>
                <w:kern w:val="0"/>
                <w:sz w:val="24"/>
              </w:rPr>
              <w:t>指标</w:t>
            </w:r>
          </w:p>
        </w:tc>
        <w:tc>
          <w:tcPr>
            <w:tcW w:w="8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2740"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06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年度指标值</w:t>
            </w:r>
          </w:p>
        </w:tc>
        <w:tc>
          <w:tcPr>
            <w:tcW w:w="126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实际完成数</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完成率（%）</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未完成原因和改进措施</w:t>
            </w:r>
          </w:p>
        </w:tc>
      </w:tr>
      <w:tr>
        <w:tblPrEx>
          <w:tblCellMar>
            <w:top w:w="0" w:type="dxa"/>
            <w:left w:w="108" w:type="dxa"/>
            <w:bottom w:w="0" w:type="dxa"/>
            <w:right w:w="108" w:type="dxa"/>
          </w:tblCellMar>
        </w:tblPrEx>
        <w:trPr>
          <w:gridAfter w:val="1"/>
          <w:wAfter w:w="171" w:type="dxa"/>
          <w:trHeight w:val="45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项目完成</w:t>
            </w:r>
          </w:p>
        </w:tc>
        <w:tc>
          <w:tcPr>
            <w:tcW w:w="84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数量指标</w:t>
            </w:r>
          </w:p>
        </w:tc>
        <w:tc>
          <w:tcPr>
            <w:tcW w:w="2740"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指标1：派驻纪检组经费</w:t>
            </w:r>
          </w:p>
        </w:tc>
        <w:tc>
          <w:tcPr>
            <w:tcW w:w="106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5000</w:t>
            </w:r>
          </w:p>
        </w:tc>
        <w:tc>
          <w:tcPr>
            <w:tcW w:w="1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5000</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171" w:type="dxa"/>
          <w:trHeight w:val="58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84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2740"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指标2：政法三级专网租赁费</w:t>
            </w:r>
          </w:p>
        </w:tc>
        <w:tc>
          <w:tcPr>
            <w:tcW w:w="106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24000</w:t>
            </w:r>
          </w:p>
        </w:tc>
        <w:tc>
          <w:tcPr>
            <w:tcW w:w="1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24000</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171" w:type="dxa"/>
          <w:trHeight w:val="45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84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2740"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指标3：司法救助</w:t>
            </w:r>
          </w:p>
        </w:tc>
        <w:tc>
          <w:tcPr>
            <w:tcW w:w="106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30000</w:t>
            </w:r>
          </w:p>
        </w:tc>
        <w:tc>
          <w:tcPr>
            <w:tcW w:w="1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30000</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171" w:type="dxa"/>
          <w:trHeight w:val="45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84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2740"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指标4：会议室维护费</w:t>
            </w:r>
          </w:p>
        </w:tc>
        <w:tc>
          <w:tcPr>
            <w:tcW w:w="106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10000</w:t>
            </w:r>
          </w:p>
        </w:tc>
        <w:tc>
          <w:tcPr>
            <w:tcW w:w="1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10000</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171" w:type="dxa"/>
          <w:trHeight w:val="45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84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2740"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指标5：办案业务费</w:t>
            </w:r>
          </w:p>
        </w:tc>
        <w:tc>
          <w:tcPr>
            <w:tcW w:w="106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60000</w:t>
            </w:r>
          </w:p>
        </w:tc>
        <w:tc>
          <w:tcPr>
            <w:tcW w:w="1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60000</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171" w:type="dxa"/>
          <w:trHeight w:val="60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84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质量指标</w:t>
            </w:r>
          </w:p>
        </w:tc>
        <w:tc>
          <w:tcPr>
            <w:tcW w:w="2740"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指标1：保证派驻纪检组工作正常开展</w:t>
            </w:r>
          </w:p>
        </w:tc>
        <w:tc>
          <w:tcPr>
            <w:tcW w:w="106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保障</w:t>
            </w:r>
          </w:p>
        </w:tc>
        <w:tc>
          <w:tcPr>
            <w:tcW w:w="1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保障</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171" w:type="dxa"/>
          <w:trHeight w:val="64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84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2740"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指标2：政法三级网络畅通</w:t>
            </w:r>
          </w:p>
        </w:tc>
        <w:tc>
          <w:tcPr>
            <w:tcW w:w="106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保障</w:t>
            </w:r>
          </w:p>
        </w:tc>
        <w:tc>
          <w:tcPr>
            <w:tcW w:w="1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保障</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171" w:type="dxa"/>
          <w:trHeight w:val="5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84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2740"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指标3：救助司法困难群众</w:t>
            </w:r>
          </w:p>
        </w:tc>
        <w:tc>
          <w:tcPr>
            <w:tcW w:w="106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8</w:t>
            </w:r>
          </w:p>
        </w:tc>
        <w:tc>
          <w:tcPr>
            <w:tcW w:w="1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9</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171" w:type="dxa"/>
          <w:trHeight w:val="64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84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2740"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指标4：保证视频会议室正常使用</w:t>
            </w:r>
          </w:p>
        </w:tc>
        <w:tc>
          <w:tcPr>
            <w:tcW w:w="106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保障</w:t>
            </w:r>
          </w:p>
        </w:tc>
        <w:tc>
          <w:tcPr>
            <w:tcW w:w="1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保障</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171" w:type="dxa"/>
          <w:trHeight w:val="69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84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2740"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指标5：保障办案顺利进行</w:t>
            </w:r>
          </w:p>
        </w:tc>
        <w:tc>
          <w:tcPr>
            <w:tcW w:w="106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保障</w:t>
            </w:r>
          </w:p>
        </w:tc>
        <w:tc>
          <w:tcPr>
            <w:tcW w:w="1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保障</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171" w:type="dxa"/>
          <w:trHeight w:val="45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840" w:type="dxa"/>
            <w:gridSpan w:val="2"/>
            <w:tcBorders>
              <w:top w:val="nil"/>
              <w:left w:val="nil"/>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时效指标</w:t>
            </w:r>
          </w:p>
        </w:tc>
        <w:tc>
          <w:tcPr>
            <w:tcW w:w="2740"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指标1：完成年度</w:t>
            </w:r>
          </w:p>
        </w:tc>
        <w:tc>
          <w:tcPr>
            <w:tcW w:w="106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2021年</w:t>
            </w:r>
          </w:p>
        </w:tc>
        <w:tc>
          <w:tcPr>
            <w:tcW w:w="1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2021年</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171" w:type="dxa"/>
          <w:trHeight w:val="45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840" w:type="dxa"/>
            <w:gridSpan w:val="2"/>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成本指标</w:t>
            </w:r>
          </w:p>
        </w:tc>
        <w:tc>
          <w:tcPr>
            <w:tcW w:w="2740"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指标1：财政拨款</w:t>
            </w:r>
          </w:p>
        </w:tc>
        <w:tc>
          <w:tcPr>
            <w:tcW w:w="106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129000</w:t>
            </w:r>
          </w:p>
        </w:tc>
        <w:tc>
          <w:tcPr>
            <w:tcW w:w="1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129000</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171" w:type="dxa"/>
          <w:trHeight w:val="60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项目效益</w:t>
            </w:r>
          </w:p>
        </w:tc>
        <w:tc>
          <w:tcPr>
            <w:tcW w:w="840" w:type="dxa"/>
            <w:gridSpan w:val="2"/>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经济效益</w:t>
            </w:r>
            <w:r>
              <w:rPr>
                <w:rFonts w:hint="eastAsia" w:ascii="宋体" w:hAnsi="宋体" w:cs="宋体"/>
                <w:kern w:val="0"/>
                <w:sz w:val="24"/>
              </w:rPr>
              <w:br w:type="textWrapping"/>
            </w:r>
            <w:r>
              <w:rPr>
                <w:rFonts w:hint="eastAsia" w:ascii="宋体" w:hAnsi="宋体" w:cs="宋体"/>
                <w:kern w:val="0"/>
                <w:sz w:val="24"/>
              </w:rPr>
              <w:t>指标</w:t>
            </w:r>
          </w:p>
        </w:tc>
        <w:tc>
          <w:tcPr>
            <w:tcW w:w="2740"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指标1：司法困难群众经济负担</w:t>
            </w:r>
          </w:p>
        </w:tc>
        <w:tc>
          <w:tcPr>
            <w:tcW w:w="106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减轻</w:t>
            </w:r>
          </w:p>
        </w:tc>
        <w:tc>
          <w:tcPr>
            <w:tcW w:w="1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减轻</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171" w:type="dxa"/>
          <w:trHeight w:val="64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840" w:type="dxa"/>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社会效益</w:t>
            </w:r>
            <w:r>
              <w:rPr>
                <w:rFonts w:hint="eastAsia" w:ascii="宋体" w:hAnsi="宋体" w:cs="宋体"/>
                <w:kern w:val="0"/>
                <w:sz w:val="24"/>
              </w:rPr>
              <w:br w:type="textWrapping"/>
            </w:r>
            <w:r>
              <w:rPr>
                <w:rFonts w:hint="eastAsia" w:ascii="宋体" w:hAnsi="宋体" w:cs="宋体"/>
                <w:kern w:val="0"/>
                <w:sz w:val="24"/>
              </w:rPr>
              <w:t>指标</w:t>
            </w:r>
          </w:p>
        </w:tc>
        <w:tc>
          <w:tcPr>
            <w:tcW w:w="2740"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指标1：保障派驻纪检组正常运转</w:t>
            </w:r>
          </w:p>
        </w:tc>
        <w:tc>
          <w:tcPr>
            <w:tcW w:w="106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保障</w:t>
            </w:r>
          </w:p>
        </w:tc>
        <w:tc>
          <w:tcPr>
            <w:tcW w:w="1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保障</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171" w:type="dxa"/>
          <w:trHeight w:val="45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84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2740"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指标2：视频会议室正常使用</w:t>
            </w:r>
          </w:p>
        </w:tc>
        <w:tc>
          <w:tcPr>
            <w:tcW w:w="106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保障</w:t>
            </w:r>
          </w:p>
        </w:tc>
        <w:tc>
          <w:tcPr>
            <w:tcW w:w="1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保障</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171" w:type="dxa"/>
          <w:trHeight w:val="45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84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2740"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指标3：社会公平公正</w:t>
            </w:r>
          </w:p>
        </w:tc>
        <w:tc>
          <w:tcPr>
            <w:tcW w:w="106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维护</w:t>
            </w:r>
          </w:p>
        </w:tc>
        <w:tc>
          <w:tcPr>
            <w:tcW w:w="1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维护</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171" w:type="dxa"/>
          <w:trHeight w:val="45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84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2740"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指标4：社会和谐稳定</w:t>
            </w:r>
          </w:p>
        </w:tc>
        <w:tc>
          <w:tcPr>
            <w:tcW w:w="106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促进</w:t>
            </w:r>
          </w:p>
        </w:tc>
        <w:tc>
          <w:tcPr>
            <w:tcW w:w="1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促进</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171" w:type="dxa"/>
          <w:trHeight w:val="45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满意度指标</w:t>
            </w:r>
          </w:p>
        </w:tc>
        <w:tc>
          <w:tcPr>
            <w:tcW w:w="84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满意度指标</w:t>
            </w:r>
          </w:p>
        </w:tc>
        <w:tc>
          <w:tcPr>
            <w:tcW w:w="2740"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指标1：政法人员</w:t>
            </w:r>
          </w:p>
        </w:tc>
        <w:tc>
          <w:tcPr>
            <w:tcW w:w="106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满意</w:t>
            </w:r>
          </w:p>
        </w:tc>
        <w:tc>
          <w:tcPr>
            <w:tcW w:w="1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满意</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171" w:type="dxa"/>
          <w:trHeight w:val="45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84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40"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指标2：区上各个单位</w:t>
            </w:r>
          </w:p>
        </w:tc>
        <w:tc>
          <w:tcPr>
            <w:tcW w:w="106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满意</w:t>
            </w:r>
          </w:p>
        </w:tc>
        <w:tc>
          <w:tcPr>
            <w:tcW w:w="1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满意</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171" w:type="dxa"/>
          <w:trHeight w:val="45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84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40"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指标3：救助对象满意率</w:t>
            </w:r>
          </w:p>
        </w:tc>
        <w:tc>
          <w:tcPr>
            <w:tcW w:w="106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满意</w:t>
            </w:r>
          </w:p>
        </w:tc>
        <w:tc>
          <w:tcPr>
            <w:tcW w:w="1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满意</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440" w:type="dxa"/>
          <w:trHeight w:val="675" w:hRule="atLeast"/>
        </w:trPr>
        <w:tc>
          <w:tcPr>
            <w:tcW w:w="8820" w:type="dxa"/>
            <w:gridSpan w:val="16"/>
            <w:tcBorders>
              <w:top w:val="nil"/>
              <w:left w:val="nil"/>
              <w:bottom w:val="nil"/>
              <w:right w:val="nil"/>
            </w:tcBorders>
            <w:shd w:val="clear" w:color="auto" w:fill="auto"/>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项目（政策）资金绩效自评表</w:t>
            </w:r>
          </w:p>
        </w:tc>
      </w:tr>
      <w:tr>
        <w:tblPrEx>
          <w:tblCellMar>
            <w:top w:w="0" w:type="dxa"/>
            <w:left w:w="108" w:type="dxa"/>
            <w:bottom w:w="0" w:type="dxa"/>
            <w:right w:w="108" w:type="dxa"/>
          </w:tblCellMar>
        </w:tblPrEx>
        <w:trPr>
          <w:gridAfter w:val="2"/>
          <w:wAfter w:w="440" w:type="dxa"/>
          <w:trHeight w:val="285" w:hRule="atLeast"/>
        </w:trPr>
        <w:tc>
          <w:tcPr>
            <w:tcW w:w="8820" w:type="dxa"/>
            <w:gridSpan w:val="16"/>
            <w:tcBorders>
              <w:top w:val="nil"/>
              <w:left w:val="nil"/>
              <w:bottom w:val="nil"/>
              <w:right w:val="nil"/>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w:t>
            </w:r>
            <w:r>
              <w:rPr>
                <w:kern w:val="0"/>
                <w:sz w:val="24"/>
              </w:rPr>
              <w:t>2021</w:t>
            </w:r>
            <w:r>
              <w:rPr>
                <w:rFonts w:hint="eastAsia" w:ascii="宋体" w:hAnsi="宋体" w:cs="宋体"/>
                <w:kern w:val="0"/>
                <w:sz w:val="24"/>
              </w:rPr>
              <w:t>年度）</w:t>
            </w:r>
          </w:p>
        </w:tc>
      </w:tr>
      <w:tr>
        <w:tblPrEx>
          <w:tblCellMar>
            <w:top w:w="0" w:type="dxa"/>
            <w:left w:w="108" w:type="dxa"/>
            <w:bottom w:w="0" w:type="dxa"/>
            <w:right w:w="108" w:type="dxa"/>
          </w:tblCellMar>
        </w:tblPrEx>
        <w:trPr>
          <w:gridAfter w:val="2"/>
          <w:wAfter w:w="440" w:type="dxa"/>
          <w:trHeight w:val="439" w:hRule="atLeast"/>
        </w:trPr>
        <w:tc>
          <w:tcPr>
            <w:tcW w:w="22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专项（项目）名称</w:t>
            </w:r>
          </w:p>
        </w:tc>
        <w:tc>
          <w:tcPr>
            <w:tcW w:w="6580" w:type="dxa"/>
            <w:gridSpan w:val="1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政法队伍教育整顿氛围营造专项经费</w:t>
            </w:r>
          </w:p>
        </w:tc>
      </w:tr>
      <w:tr>
        <w:tblPrEx>
          <w:tblCellMar>
            <w:top w:w="0" w:type="dxa"/>
            <w:left w:w="108" w:type="dxa"/>
            <w:bottom w:w="0" w:type="dxa"/>
            <w:right w:w="108" w:type="dxa"/>
          </w:tblCellMar>
        </w:tblPrEx>
        <w:trPr>
          <w:gridAfter w:val="2"/>
          <w:wAfter w:w="440" w:type="dxa"/>
          <w:trHeight w:val="439" w:hRule="atLeast"/>
        </w:trPr>
        <w:tc>
          <w:tcPr>
            <w:tcW w:w="22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项目主管单位</w:t>
            </w:r>
          </w:p>
        </w:tc>
        <w:tc>
          <w:tcPr>
            <w:tcW w:w="6580" w:type="dxa"/>
            <w:gridSpan w:val="1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中共攀枝花市西区区委政法委员会</w:t>
            </w:r>
          </w:p>
        </w:tc>
      </w:tr>
      <w:tr>
        <w:tblPrEx>
          <w:tblCellMar>
            <w:top w:w="0" w:type="dxa"/>
            <w:left w:w="108" w:type="dxa"/>
            <w:bottom w:w="0" w:type="dxa"/>
            <w:right w:w="108" w:type="dxa"/>
          </w:tblCellMar>
        </w:tblPrEx>
        <w:trPr>
          <w:gridAfter w:val="2"/>
          <w:wAfter w:w="440" w:type="dxa"/>
          <w:trHeight w:val="439" w:hRule="atLeast"/>
        </w:trPr>
        <w:tc>
          <w:tcPr>
            <w:tcW w:w="224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项目实施单位</w:t>
            </w:r>
          </w:p>
        </w:tc>
        <w:tc>
          <w:tcPr>
            <w:tcW w:w="6580" w:type="dxa"/>
            <w:gridSpan w:val="1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攀枝花市西区人民检察院</w:t>
            </w:r>
          </w:p>
        </w:tc>
      </w:tr>
      <w:tr>
        <w:tblPrEx>
          <w:tblCellMar>
            <w:top w:w="0" w:type="dxa"/>
            <w:left w:w="108" w:type="dxa"/>
            <w:bottom w:w="0" w:type="dxa"/>
            <w:right w:w="108" w:type="dxa"/>
          </w:tblCellMar>
        </w:tblPrEx>
        <w:trPr>
          <w:gridAfter w:val="2"/>
          <w:wAfter w:w="440" w:type="dxa"/>
          <w:trHeight w:val="439" w:hRule="atLeast"/>
        </w:trPr>
        <w:tc>
          <w:tcPr>
            <w:tcW w:w="224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40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全年预算数</w:t>
            </w:r>
          </w:p>
        </w:tc>
        <w:tc>
          <w:tcPr>
            <w:tcW w:w="118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实际完成数</w:t>
            </w:r>
          </w:p>
        </w:tc>
        <w:tc>
          <w:tcPr>
            <w:tcW w:w="188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执行率（%）</w:t>
            </w:r>
          </w:p>
        </w:tc>
      </w:tr>
      <w:tr>
        <w:tblPrEx>
          <w:tblCellMar>
            <w:top w:w="0" w:type="dxa"/>
            <w:left w:w="108" w:type="dxa"/>
            <w:bottom w:w="0" w:type="dxa"/>
            <w:right w:w="108" w:type="dxa"/>
          </w:tblCellMar>
        </w:tblPrEx>
        <w:trPr>
          <w:gridAfter w:val="2"/>
          <w:wAfter w:w="440" w:type="dxa"/>
          <w:trHeight w:val="439" w:hRule="atLeast"/>
        </w:trPr>
        <w:tc>
          <w:tcPr>
            <w:tcW w:w="224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40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年度资金总额：</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120000</w:t>
            </w:r>
          </w:p>
        </w:tc>
        <w:tc>
          <w:tcPr>
            <w:tcW w:w="118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120000</w:t>
            </w:r>
          </w:p>
        </w:tc>
        <w:tc>
          <w:tcPr>
            <w:tcW w:w="188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100%</w:t>
            </w:r>
          </w:p>
        </w:tc>
      </w:tr>
      <w:tr>
        <w:tblPrEx>
          <w:tblCellMar>
            <w:top w:w="0" w:type="dxa"/>
            <w:left w:w="108" w:type="dxa"/>
            <w:bottom w:w="0" w:type="dxa"/>
            <w:right w:w="108" w:type="dxa"/>
          </w:tblCellMar>
        </w:tblPrEx>
        <w:trPr>
          <w:gridAfter w:val="2"/>
          <w:wAfter w:w="440" w:type="dxa"/>
          <w:trHeight w:val="570" w:hRule="atLeast"/>
        </w:trPr>
        <w:tc>
          <w:tcPr>
            <w:tcW w:w="224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40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其中：上级财政资金</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18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88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440" w:type="dxa"/>
          <w:trHeight w:val="630" w:hRule="atLeast"/>
        </w:trPr>
        <w:tc>
          <w:tcPr>
            <w:tcW w:w="224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40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本级财政资金</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120000</w:t>
            </w:r>
          </w:p>
        </w:tc>
        <w:tc>
          <w:tcPr>
            <w:tcW w:w="118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120000</w:t>
            </w:r>
          </w:p>
        </w:tc>
        <w:tc>
          <w:tcPr>
            <w:tcW w:w="188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100%</w:t>
            </w:r>
          </w:p>
        </w:tc>
      </w:tr>
      <w:tr>
        <w:tblPrEx>
          <w:tblCellMar>
            <w:top w:w="0" w:type="dxa"/>
            <w:left w:w="108" w:type="dxa"/>
            <w:bottom w:w="0" w:type="dxa"/>
            <w:right w:w="108" w:type="dxa"/>
          </w:tblCellMar>
        </w:tblPrEx>
        <w:trPr>
          <w:gridAfter w:val="2"/>
          <w:wAfter w:w="440" w:type="dxa"/>
          <w:trHeight w:val="439"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390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年度设定目标</w:t>
            </w:r>
          </w:p>
        </w:tc>
        <w:tc>
          <w:tcPr>
            <w:tcW w:w="4180"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gridAfter w:val="2"/>
          <w:wAfter w:w="440" w:type="dxa"/>
          <w:trHeight w:val="159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390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打造政法队伍教育整顿氛围，迎接省上检查。</w:t>
            </w:r>
          </w:p>
        </w:tc>
        <w:tc>
          <w:tcPr>
            <w:tcW w:w="4180"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打造政法队伍教育整顿氛围，接受省上检查。</w:t>
            </w:r>
          </w:p>
        </w:tc>
      </w:tr>
      <w:tr>
        <w:tblPrEx>
          <w:tblCellMar>
            <w:top w:w="0" w:type="dxa"/>
            <w:left w:w="108" w:type="dxa"/>
            <w:bottom w:w="0" w:type="dxa"/>
            <w:right w:w="108" w:type="dxa"/>
          </w:tblCellMar>
        </w:tblPrEx>
        <w:trPr>
          <w:gridAfter w:val="2"/>
          <w:wAfter w:w="440" w:type="dxa"/>
          <w:trHeight w:val="1095"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一级</w:t>
            </w:r>
            <w:r>
              <w:rPr>
                <w:rFonts w:hint="eastAsia" w:ascii="宋体" w:hAnsi="宋体" w:cs="宋体"/>
                <w:kern w:val="0"/>
                <w:sz w:val="24"/>
              </w:rPr>
              <w:br w:type="textWrapping"/>
            </w:r>
            <w:r>
              <w:rPr>
                <w:rFonts w:hint="eastAsia" w:ascii="宋体" w:hAnsi="宋体" w:cs="宋体"/>
                <w:kern w:val="0"/>
                <w:sz w:val="24"/>
              </w:rPr>
              <w:t>指标</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240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年度指标值</w:t>
            </w:r>
          </w:p>
        </w:tc>
        <w:tc>
          <w:tcPr>
            <w:tcW w:w="118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实际完成数</w:t>
            </w:r>
          </w:p>
        </w:tc>
        <w:tc>
          <w:tcPr>
            <w:tcW w:w="88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完成率（%）</w:t>
            </w:r>
          </w:p>
        </w:tc>
        <w:tc>
          <w:tcPr>
            <w:tcW w:w="100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未完成原因和改进措施</w:t>
            </w:r>
          </w:p>
        </w:tc>
      </w:tr>
      <w:tr>
        <w:tblPrEx>
          <w:tblCellMar>
            <w:top w:w="0" w:type="dxa"/>
            <w:left w:w="108" w:type="dxa"/>
            <w:bottom w:w="0" w:type="dxa"/>
            <w:right w:w="108" w:type="dxa"/>
          </w:tblCellMar>
        </w:tblPrEx>
        <w:trPr>
          <w:gridAfter w:val="2"/>
          <w:wAfter w:w="440" w:type="dxa"/>
          <w:trHeight w:val="58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项目完成</w:t>
            </w:r>
          </w:p>
        </w:tc>
        <w:tc>
          <w:tcPr>
            <w:tcW w:w="7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数量指标</w:t>
            </w:r>
          </w:p>
        </w:tc>
        <w:tc>
          <w:tcPr>
            <w:tcW w:w="240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指标1：LED屏</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3块屏幕</w:t>
            </w:r>
          </w:p>
        </w:tc>
        <w:tc>
          <w:tcPr>
            <w:tcW w:w="118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3块屏幕</w:t>
            </w:r>
          </w:p>
        </w:tc>
        <w:tc>
          <w:tcPr>
            <w:tcW w:w="880"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w:t>
            </w:r>
          </w:p>
        </w:tc>
        <w:tc>
          <w:tcPr>
            <w:tcW w:w="100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440" w:type="dxa"/>
          <w:trHeight w:val="58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40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指标2：音响</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1套</w:t>
            </w:r>
          </w:p>
        </w:tc>
        <w:tc>
          <w:tcPr>
            <w:tcW w:w="118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1套</w:t>
            </w:r>
          </w:p>
        </w:tc>
        <w:tc>
          <w:tcPr>
            <w:tcW w:w="880"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w:t>
            </w:r>
          </w:p>
        </w:tc>
        <w:tc>
          <w:tcPr>
            <w:tcW w:w="100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440" w:type="dxa"/>
          <w:trHeight w:val="58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40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指标3：墙面粉刷</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楼梯间粉刷</w:t>
            </w:r>
          </w:p>
        </w:tc>
        <w:tc>
          <w:tcPr>
            <w:tcW w:w="118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完成</w:t>
            </w:r>
          </w:p>
        </w:tc>
        <w:tc>
          <w:tcPr>
            <w:tcW w:w="880"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w:t>
            </w:r>
          </w:p>
        </w:tc>
        <w:tc>
          <w:tcPr>
            <w:tcW w:w="100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440" w:type="dxa"/>
          <w:trHeight w:val="58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质量指标</w:t>
            </w:r>
          </w:p>
        </w:tc>
        <w:tc>
          <w:tcPr>
            <w:tcW w:w="240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指标1：正常使用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正常使用</w:t>
            </w:r>
          </w:p>
        </w:tc>
        <w:tc>
          <w:tcPr>
            <w:tcW w:w="118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正常使用</w:t>
            </w:r>
          </w:p>
        </w:tc>
        <w:tc>
          <w:tcPr>
            <w:tcW w:w="88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00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440" w:type="dxa"/>
          <w:trHeight w:val="58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时效指标</w:t>
            </w:r>
          </w:p>
        </w:tc>
        <w:tc>
          <w:tcPr>
            <w:tcW w:w="240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指标1：完成年度</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2021年</w:t>
            </w:r>
          </w:p>
        </w:tc>
        <w:tc>
          <w:tcPr>
            <w:tcW w:w="118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2021年</w:t>
            </w:r>
          </w:p>
        </w:tc>
        <w:tc>
          <w:tcPr>
            <w:tcW w:w="880"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w:t>
            </w:r>
          </w:p>
        </w:tc>
        <w:tc>
          <w:tcPr>
            <w:tcW w:w="100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440" w:type="dxa"/>
          <w:trHeight w:val="58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成本指标</w:t>
            </w:r>
          </w:p>
        </w:tc>
        <w:tc>
          <w:tcPr>
            <w:tcW w:w="240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指标1：财政拨款</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120000元</w:t>
            </w:r>
          </w:p>
        </w:tc>
        <w:tc>
          <w:tcPr>
            <w:tcW w:w="118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120000元</w:t>
            </w:r>
          </w:p>
        </w:tc>
        <w:tc>
          <w:tcPr>
            <w:tcW w:w="880"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w:t>
            </w:r>
          </w:p>
        </w:tc>
        <w:tc>
          <w:tcPr>
            <w:tcW w:w="100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440" w:type="dxa"/>
          <w:trHeight w:val="58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7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社会效益</w:t>
            </w:r>
            <w:r>
              <w:rPr>
                <w:rFonts w:hint="eastAsia" w:ascii="宋体" w:hAnsi="宋体" w:cs="宋体"/>
                <w:kern w:val="0"/>
                <w:sz w:val="24"/>
              </w:rPr>
              <w:br w:type="textWrapping"/>
            </w:r>
            <w:r>
              <w:rPr>
                <w:rFonts w:hint="eastAsia" w:ascii="宋体" w:hAnsi="宋体" w:cs="宋体"/>
                <w:kern w:val="0"/>
                <w:sz w:val="24"/>
              </w:rPr>
              <w:t>指标</w:t>
            </w:r>
          </w:p>
        </w:tc>
        <w:tc>
          <w:tcPr>
            <w:tcW w:w="240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指标1：厚植执法为民理念</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强化理念</w:t>
            </w:r>
          </w:p>
        </w:tc>
        <w:tc>
          <w:tcPr>
            <w:tcW w:w="118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强化理念</w:t>
            </w:r>
          </w:p>
        </w:tc>
        <w:tc>
          <w:tcPr>
            <w:tcW w:w="88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00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440" w:type="dxa"/>
          <w:trHeight w:val="58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40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指标2：法制宣传</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宣传</w:t>
            </w:r>
          </w:p>
        </w:tc>
        <w:tc>
          <w:tcPr>
            <w:tcW w:w="118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宣传</w:t>
            </w:r>
          </w:p>
        </w:tc>
        <w:tc>
          <w:tcPr>
            <w:tcW w:w="88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00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440" w:type="dxa"/>
          <w:trHeight w:val="58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可持续影响</w:t>
            </w:r>
            <w:r>
              <w:rPr>
                <w:rFonts w:hint="eastAsia" w:ascii="宋体" w:hAnsi="宋体" w:cs="宋体"/>
                <w:kern w:val="0"/>
                <w:sz w:val="24"/>
              </w:rPr>
              <w:br w:type="textWrapping"/>
            </w:r>
            <w:r>
              <w:rPr>
                <w:rFonts w:hint="eastAsia" w:ascii="宋体" w:hAnsi="宋体" w:cs="宋体"/>
                <w:kern w:val="0"/>
                <w:sz w:val="24"/>
              </w:rPr>
              <w:t>指标</w:t>
            </w:r>
          </w:p>
        </w:tc>
        <w:tc>
          <w:tcPr>
            <w:tcW w:w="240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指标1：及时回应群众新需求</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回答群众需求</w:t>
            </w:r>
          </w:p>
        </w:tc>
        <w:tc>
          <w:tcPr>
            <w:tcW w:w="118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回答群众需求</w:t>
            </w:r>
          </w:p>
        </w:tc>
        <w:tc>
          <w:tcPr>
            <w:tcW w:w="88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00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440" w:type="dxa"/>
          <w:trHeight w:val="58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40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指标2：及时宣传国家新政策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宣传</w:t>
            </w:r>
          </w:p>
        </w:tc>
        <w:tc>
          <w:tcPr>
            <w:tcW w:w="118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宣传</w:t>
            </w:r>
          </w:p>
        </w:tc>
        <w:tc>
          <w:tcPr>
            <w:tcW w:w="88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00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440" w:type="dxa"/>
          <w:trHeight w:val="58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满意度指标</w:t>
            </w:r>
          </w:p>
        </w:tc>
        <w:tc>
          <w:tcPr>
            <w:tcW w:w="7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满意度指标</w:t>
            </w:r>
          </w:p>
        </w:tc>
        <w:tc>
          <w:tcPr>
            <w:tcW w:w="240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指标1：干警满意度</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满意</w:t>
            </w:r>
          </w:p>
        </w:tc>
        <w:tc>
          <w:tcPr>
            <w:tcW w:w="118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满意</w:t>
            </w:r>
          </w:p>
        </w:tc>
        <w:tc>
          <w:tcPr>
            <w:tcW w:w="88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00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440" w:type="dxa"/>
          <w:trHeight w:val="58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40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指标2：群众满意度</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满意</w:t>
            </w:r>
          </w:p>
        </w:tc>
        <w:tc>
          <w:tcPr>
            <w:tcW w:w="118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满意</w:t>
            </w:r>
          </w:p>
        </w:tc>
        <w:tc>
          <w:tcPr>
            <w:tcW w:w="88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00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bl>
    <w:p>
      <w:pPr>
        <w:widowControl/>
        <w:jc w:val="left"/>
        <w:rPr>
          <w:rFonts w:ascii="黑体" w:hAnsi="黑体" w:eastAsia="黑体"/>
          <w:sz w:val="44"/>
          <w:szCs w:val="44"/>
        </w:rPr>
      </w:pPr>
    </w:p>
    <w:p>
      <w:pPr>
        <w:spacing w:line="480" w:lineRule="auto"/>
        <w:ind w:firstLine="600" w:firstLineChars="200"/>
        <w:rPr>
          <w:rFonts w:asciiTheme="minorEastAsia" w:hAnsiTheme="minorEastAsia" w:eastAsiaTheme="minorEastAsia"/>
          <w:sz w:val="30"/>
          <w:szCs w:val="30"/>
        </w:rPr>
      </w:pPr>
    </w:p>
    <w:p>
      <w:pPr>
        <w:spacing w:line="480" w:lineRule="auto"/>
        <w:ind w:firstLine="723" w:firstLineChars="200"/>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第三部分  名词解释</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1.财政拨款收入：指单位从同级财政部门取得的财政预算资金。</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2.其他收入：指单位取得的除上述收入以外的各项收入。主要是银行基本户利息收入等。</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3.公共安全支出：反映政府维护社会公共安全方面的支出。</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4.社会保障和就业支出：反映政府在社会保障与就业方面的支出。</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5.医疗卫生与计划生育支出：反映政府在医疗卫生与计划生育方面的支出。</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6.住房保障支出：反映政府用于住房方面的支出。</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7.年初结转和结余：指以前年度尚未完成、结转到本年按有关规定继续使用的资金。</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8、年末结转和结余：指本年度或以前年度预算安排、因客观条件发生变化无法按原计划实施，需延迟到以后年度按有关规定继续使用的资金。</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9. 公共安全支出（类）检察（款）行政运行（项）：指行政单位（包括实现公务员管理的事业单位）的基本支出。</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10. 公共安全支出（类）检察（款）一般行政管理事务（项）：指行政单位（包括实现公务员管理的事业单位）未单独设置项级科目的其他项目支出。</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11. 公共安全支出（类）检察（款）事业运行（项）：指事业单位的基本支出，不包括行政单位（包括实行公务员管理的事业单位）后勤服务中心、医务室等附属事业单位。</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12.住房保障支出（类）住房改革支出（款）住房公积金（项）：指行政事业单位按人力资源和社会保障部、财政部规定的基本工资和津贴补贴以及规定比例为职工缴纳的住房公积金。</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13.社会保障和就业（类）行政事业单位离退休（款）未归口管理的行政单位离退休（项）：指未实行归口管理的行政单位（包括实行公务员管理的事业单位）开支的离退休支出。</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14.社会保障和就业（类）行政事业单位离退休（款）机关事业单位基本养老保险缴费支出（项）：指机关事业单位实施养老保险制度由单位缴纳的基本养老保险费支出。</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15.社会保障和就业（类）抚恤（款）死亡抚恤（项）：指按规定用于烈士和牺牲、病故人员家属的一次性和定期抚恤金以及丧葬补助费。</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16.基本支出：指为保障机构正常运转、完成日常工作任务而发生的人员支出和公用支出。</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17.项目支出：指在基本支出之外为完成特定行政任务和事业发展目标所发生的支出。</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18.经营支出：指事业单位在专业业务活动及其辅助活动之外开展非独立核算经营活动发生的支出。</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19.“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20.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480" w:lineRule="auto"/>
        <w:ind w:firstLine="600" w:firstLineChars="200"/>
        <w:rPr>
          <w:rFonts w:asciiTheme="minorEastAsia" w:hAnsiTheme="minorEastAsia" w:eastAsiaTheme="minorEastAsia"/>
          <w:sz w:val="30"/>
          <w:szCs w:val="30"/>
        </w:rPr>
      </w:pPr>
    </w:p>
    <w:p>
      <w:pPr>
        <w:spacing w:line="480" w:lineRule="auto"/>
        <w:ind w:firstLine="723" w:firstLineChars="200"/>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第四部分 附件</w:t>
      </w:r>
    </w:p>
    <w:p>
      <w:pPr>
        <w:spacing w:line="480" w:lineRule="auto"/>
        <w:ind w:firstLine="723" w:firstLineChars="200"/>
        <w:jc w:val="center"/>
        <w:rPr>
          <w:rFonts w:asciiTheme="minorEastAsia" w:hAnsiTheme="minorEastAsia" w:eastAsiaTheme="minorEastAsia"/>
          <w:b/>
          <w:sz w:val="36"/>
          <w:szCs w:val="36"/>
        </w:rPr>
      </w:pPr>
    </w:p>
    <w:p>
      <w:pPr>
        <w:spacing w:line="480" w:lineRule="auto"/>
        <w:ind w:firstLine="723" w:firstLineChars="200"/>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2021年攀枝花市西区人民检察院</w:t>
      </w:r>
    </w:p>
    <w:p>
      <w:pPr>
        <w:spacing w:line="480" w:lineRule="auto"/>
        <w:ind w:firstLine="723" w:firstLineChars="200"/>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部门预算整体绩效自评报告</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一、部门概况</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1．主要职能。</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(1)对于直接受理的国家工作人员利用职权实施的犯罪案件，进行侦查。</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(2)对于公安机关、国家安全机关等侦查机关侦查的案件进行审查，决定是否逮捕、起诉或者不起诉。并对侦查机关的侦查活动是否合法实行监督。</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 xml:space="preserve">(3)对于刑事案件提起公诉，支持公诉；对于人民法院的刑事判决、裁定是否正确和审判活动是否合法实行监督。   </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(4)对于监狱、看守所等执行机关执行刑罚的活动是否合法实行监督。</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(5)对于人民法院的民事审判活动实行法律监督，对人民法院已经发生效力的判决、裁定，发现违反法律、法规规定的，依法提出抗诉。</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(6)对于行政诉讼实行法律监督。对人民法院已经发生效力的判决、裁定发现违反法律、法规规定的，依法提出抗诉。</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2．人员情况: 2021年末司法行政人员32人，事业人员1人，编制在区人才中心，编内临聘人员4人,退休人员13人,聘用书记员12名,遗属2名。</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3．资产情况：2021年新增固定资产4项，共计24.22万元，新增无形资产2项，共计29.71万元，本年无报废资产。</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二、部门资金基本情况</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（一）年初部门预算安排及支出情况（分类表述）</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1、基本支出安排及使用情况</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2021年年初部门预算基本支出安排898.61万元，追加69.64万元，基本支出决算总额为968.25万元，其中：公共安全支出760.35万元，社会保障和就业72.5万元，医疗卫生与计划生育支出54.45万元，住房保障支出80.95万元。支出决算总额较2020年增加82.48万元，主要原因区目标绩效增加， 以及2021年年底发了本年检察目标绩效。</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2、部门预算项目安排及支出情况</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2021年初项目安排聘用书记员经费67.2万元，办案业务费6.9万元，合计74.1万元，本年底全部支付。</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（二）追加预算安排及支出情况</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2021年年初部门预算基本支出安排898.61万元，基本支出追加69.64万元，主要在人员经费上追加了76.6万元，因工资调标、基数调整等因素追加了社保、公积金、工资和津补贴，公用经费追减6.43万元，主要是公车运行费用节约的指标。项目经费追加18万元，其中政法教育整顿氛围营造专用经费12万元，办案业务费6万元。追加经费全部支付完成。</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（三）专项资金安排及支出情况</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2021年中央、省级政法纪检监察转移支付拨付141万元，上年结转149.84万元，全年支出98.78万元，预算执行率33.96%财政收回剩余所有额度。支出包含：扫黑除恶支出1.69万元，司法救助经费支出5万元，新冠肺炎疫情防控经费支出2.46万元，办案业务费支出80.64，装备费支出8.99万元。</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（四）其他资金收支及结转结余使用情况</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2021年度有银行利息收入0.013万元，年底全部缴入国库。</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三、绩效目标完成情况分析</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根据绩效目标及指标值逐项分析。</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（一）区级财政资金绩效目标完成情况</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1.年初部门预算绩效目标完成情况</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（1）产出指标完成情况分析。</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数量指标：今年共受理提请批准逮捕案件113件149人，移送审查起诉案件250件370人，提起公诉163件223人。其中批准逮捕寻衅滋事案2件2人，起诉非法持有枪支案2件3人，起诉开设赌场案3件8人。批准逮捕盗窃案22件28人，对诈骗案8件12人提起公诉。批准逮捕毒品犯罪案件27件30人，起诉毒品犯罪案件27件29人。积极推进社会综合治理。全力推进认罪认罚从宽工作，共办理适用被告人认罪认罚从宽制度案件162件210人，提出确定刑量刑建议175人，法院采纳141人。联合有关部门开展“窨井盖”综合治理整治工作，开展“公益诉讼守护美好生活”专项行动，开展“中药材计量器”专项检查。保护未成年人合法权益。严厉打击侵害未成年人的各类刑事犯罪活动。起诉侵害未成年人犯罪案件4件5人。对未成年嫌疑人附条件不起诉2人，对6人适用认罪认罚从宽制度，开展心理辅导等多元化救助8 人次。妥善化解社会矛盾纠纷。发挥12309检察服务中心 “一站式”服务作用，落实最高检“群众信访件件有回复”要求，共接收信访案件32件，对所有案件实现做了7日内程序性、结果性回复。抓好涉检矛盾化解，检察长接访20件50余人次。律师参与化解涉法涉诉信访案件2件，促进破解涉法涉诉信访难题。针对公安机关的侦查活动，共立案监督9件，撤案 2 件，提出书面纠正违法15件次，提前介入重大案件 44 件。强化刑事审判监督，对认为确有错误的刑事裁判提出抗诉 2 件。加强刑事执行检察监督。开展巡回检察工作，共检察监督社区矫正人员140人，书面发出纠正违法通知书2件。强化民事检察监督。办理民事审判程序监督案件12件，民事执行活动监督案件19件，民事生效裁判监督案件审结数占民事生效裁判监督案件受理数的比例达到100%。做实行政检察工作。开展行政非诉执行监督7件，均已被采纳，进一步推进和谐社会和法治社会建设。办理实质性争议化解案件2件。持续推进公益诉讼工作。公益诉讼立案共46件，涉及生态环境、食药品安全、资源保护和国有财产等领域，提起刑事附带民事公益诉讼案件3件。拓展公益诉讼线索，通过连续宣传、走访等形式，排查问题线索36件，发出检察建议39件。</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质量指标：案件办结率，逮捕案件：96.43%；起诉案件：87.19%；购置装备合格率100%。</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时效指标：业务装备采购及时，本年采购装备全部到位，财政资金下拨到位100%。</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成本指标：财政全年拨款1159.27万元。</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（2）效益指标完成情况分析。</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社会效益：开展综合治理整治工作，妥善化解社会矛盾纠纷，切实维护社会和谐稳定；强化刑事立案侦查审判监督，刑事执行检察监督，民事检察监督，行政执行监督，推进公益诉讼工作切实维护社会公平正义。</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可持续影响：对基层检察机关办案经费保障力度持续加强，对基层检察机关业务装备经费保障力度持续加强。</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（3）满意度指标完成情况分析。</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办案业务费和装备费的保障，提高检察官办案条件和办案积极性，案件的质量和效率的提高得到群众的认可，两方满意度都得到提升。</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2.区级专项（项目）资金绩效目标完成情况</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（1）聘用书记员经费安排67.2万元，完成率100%。</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单位招聘的12名书记员，服务于员额检察官，需保障其工资、社保、公用经费、福利费等开支，维持书记员队伍稳定，保证检察官办案质量和效率，妥善化解社会矛盾纠纷，切实维护社会和谐稳定；强化刑事立案侦查审判监督，刑事执行检察监督，民事检察监督，行政执行监督，推进公益诉讼工作，切实维护社会公平正义。书记员人事管理由本院政治处负责，每年由院党组、员额检察官对其进行考核，绩效根据考核情况发放，21年书记员考核工作结束，员额检察官对书记员工作做出肯定。</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（2）办案业务费安排12.9万元，项目完成100%。</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政法网络传输电路租赁费2.4万元是保障政法三级网络畅通；多媒体会议室供全区各单位使用，每年使用次数超过百余次，电费、水费、设备维护费、清洁人员工资等费用是必要开支，为保证会议室的正常使用拨付1万元维护费；纪检监察委派驻我单位3名人员，拨付0.5万元纪检工作经费保障工作顺利开展；2021年司法救助目标8人次，区级预算3万元；办案业务费6万元保障办案顺利进行。</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2021年政法三级网络畅通，多媒体会议室使用正常，派驻纪检组工作顺利完成，司法救助完成9人次，办案案件数量和质量达到上级考核，切实维护本县区社会和谐稳定及社会公平正义。被救助人员的经济困难得到减轻，区上各单位视频会议召开顺利，检察工作圆满完成，取得了各方都满意的成绩。</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（3）政法队伍教育整顿营造专项经费安排12万元，完成率100%。</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2021年政法教育整顿期间，根据区政法委要求安装了3个LED显示屏幕和1组音响，对楼梯间进行了粉刷，布置了警示语、照片墙等，强化学习氛围，巩固学习成果，完成政法教育整顿的学习和整改。此外LED屏幕滚动播放普法、防火、安全教育、爱国卫生等国家政策宣传内容，回应群众关心的问题。普法打开新渠道，宣传更直接、快捷的到达群众心中。</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（二）上级专项（项目）资金绩效目标完成情况</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（1）产出指标完成情况分析。</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数量指标：今年共受理提请批准逮捕案件113件149人，移送审查起诉案件250件370人，提起公诉163件223人。其中批准逮捕寻衅滋事案2件2人，起诉非法持有枪支案2件3人，起诉开设赌场案3件8人。批准逮捕盗窃案22件28人，对诈骗案8件12人提起公诉。批准逮捕毒品犯罪案件27件30人，起诉毒品犯罪案件27件29人。积极推进社会综合治理。全力推进认罪认罚从宽工作，共办理适用被告人认罪认罚从宽制度案件162件210人，提出确定刑量刑建议175人，法院采纳141人。联合有关部门开展“窨井盖”综合治理整治工作，开展“公益诉讼守护美好生活”专项行动，开展“中药材计量器”专项检查。保护未成年人合法权益。严厉打击侵害未成年人的各类刑事犯罪活动。起诉侵害未成年人犯罪案件4件5人。对未成年嫌疑人附条件不起诉2人，对6人适用认罪认罚从宽制度，开展心理辅导等多元化救助8 人次。妥善化解社会矛盾纠纷。发挥12309检察服务中心 “一站式”服务作用，落实最高检“群众信访件件有回复”要求，共接收信访案件32件，对所有案件实现做了7日内程序性、结果性回复。抓好涉检矛盾化解，检察长接访20件50余人次。律师参与化解涉法涉诉信访案件2件，促进破解涉法涉诉信访难题。针对公安机关的侦查活动，共立案监督9件，撤案 2 件，提出书面纠正违法15件次，提前介入重大案件 44 件。强化刑事审判监督，对认为确有错误的刑事裁判提出抗诉 2 件。加强刑事执行检察监督。开展巡回检察工作，共检察监督社区矫正人员140人，书面发出纠正违法通知书2件。强化民事检察监督。办理民事审判程序监督案件12件，民事执行活动监督案件19件，民事生效裁判监督案件审结数占民事生效裁判监督案件受理数的比例达到100%。做实行政检察工作。开展行政非诉执行监督7件，均已被采纳，进一步推进和谐社会和法治社会建设。办理实质性争议化解案件2件。持续推进公益诉讼工作。公益诉讼立案共46件，涉及生态环境、食药品安全、资源保护和国有财产等领域，提起刑事附带民事公益诉讼案件3件。拓展公益诉讼线索，通过连续宣传、走访等形式，排查问题线索36件，发出检察建议39件。</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质量指标：案件办结率，逮捕案件：96.43%；起诉案件：87.19%；购置装备合格率100%。</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时效指标：业务装备采购及时，本年采购装备全部到位，财政资金下拨到位100%。</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成本指标：2021年中央和省级政法转移 支付141万元，上年结转136.84万元，实际支出98.78万元，预算执行率35.55%。</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（2）效益指标完成情况分析。</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社会效益：开展综合治理整治工作，妥善化解社会矛盾纠纷，切实维护社会和谐稳定；强化刑事立案侦查审判监督，刑事执行检察监督，民事检察监督，行政执行监督，推进公益诉讼工作切实维护社会公平正义。</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可持续影响：对基层检察机关办案经费保障力度持续加强，对基层检察机关业务装备经费保障力度持续加强。</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（3）满意度指标完成情况分析。</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办案业务费和装备费的保障，提高检察官办案条件和办案积极性，案件的质量和效率的提高得到群众的认可，两方满意度都得到提升。</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（三）自评结论</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2021年我院部门整体绩效目标基本完成，区级部门预算和专项完成100%，上级专项资金绩效目标完成不理想，专项资金涉及专款专用，办案业务费、装备费、司法救助三项资金下拨时间不确定，有的是年底才下拨，无法提前做好使用计划，一般都是次年使用，每年都存在结转问题；扫黑除恶经费、新冠肺炎疫情防控经费属于临时拨付的经费，无法提前作出使用计划。</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四、偏离绩效目标的原因和下一步改进措施</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（一）偏离绩效目标的原因：</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1、办案业务费上年结转67.73万元，本年下拨80万元，实际支付67.73万元，业务装备费上年结转50.06万元，本年下拨58万元，实际支付53.99万元，司法救助上年结转9万元，本年下拨3万元，实际支出5万元，此三项费用最初都是年底下拨，结转到第二年使用，当年完成率不高；</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2、扫黑除恶经费上年结转1.58万元，本年下拨6万元，实际支付1.69万元，新冠肺炎疫情防控经费上年结转2.47万元，实际支出2.47万元，此两项经费属于临时拨付的经费，无法提前作出使用计划。</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（二）改进措施：我单位将继续强化中央专项转移支付资金和项目管理，加大项目推进力度，定期进行调整，确保类似项目绩效目标能完成更好。</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五、绩效自评结果拟应用和公开公示情况</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我单位部门预算整体绩效评价指标体系得分87.985分，绩效指标细化量化方面还待加强，预算执行进度还需加强跟进，项目规划应符合区上宏观政策规划并建立长期规划。每年按区财政要求对绩效自评表和报告在规定时间内对外公布在网上。</w:t>
      </w:r>
    </w:p>
    <w:tbl>
      <w:tblPr>
        <w:tblStyle w:val="8"/>
        <w:tblW w:w="9640" w:type="dxa"/>
        <w:tblInd w:w="91" w:type="dxa"/>
        <w:tblLayout w:type="autofit"/>
        <w:tblCellMar>
          <w:top w:w="0" w:type="dxa"/>
          <w:left w:w="108" w:type="dxa"/>
          <w:bottom w:w="0" w:type="dxa"/>
          <w:right w:w="108" w:type="dxa"/>
        </w:tblCellMar>
      </w:tblPr>
      <w:tblGrid>
        <w:gridCol w:w="500"/>
        <w:gridCol w:w="540"/>
        <w:gridCol w:w="540"/>
        <w:gridCol w:w="2800"/>
        <w:gridCol w:w="1680"/>
        <w:gridCol w:w="1820"/>
        <w:gridCol w:w="900"/>
        <w:gridCol w:w="860"/>
      </w:tblGrid>
      <w:tr>
        <w:tblPrEx>
          <w:tblCellMar>
            <w:top w:w="0" w:type="dxa"/>
            <w:left w:w="108" w:type="dxa"/>
            <w:bottom w:w="0" w:type="dxa"/>
            <w:right w:w="108" w:type="dxa"/>
          </w:tblCellMar>
        </w:tblPrEx>
        <w:trPr>
          <w:trHeight w:val="675" w:hRule="atLeast"/>
        </w:trPr>
        <w:tc>
          <w:tcPr>
            <w:tcW w:w="9640" w:type="dxa"/>
            <w:gridSpan w:val="8"/>
            <w:tcBorders>
              <w:top w:val="nil"/>
              <w:left w:val="nil"/>
              <w:bottom w:val="nil"/>
              <w:right w:val="nil"/>
            </w:tcBorders>
            <w:shd w:val="clear" w:color="auto" w:fill="auto"/>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部门预算整体绩效自评表</w:t>
            </w:r>
          </w:p>
        </w:tc>
      </w:tr>
      <w:tr>
        <w:tblPrEx>
          <w:tblCellMar>
            <w:top w:w="0" w:type="dxa"/>
            <w:left w:w="108" w:type="dxa"/>
            <w:bottom w:w="0" w:type="dxa"/>
            <w:right w:w="108" w:type="dxa"/>
          </w:tblCellMar>
        </w:tblPrEx>
        <w:trPr>
          <w:trHeight w:val="285" w:hRule="atLeast"/>
        </w:trPr>
        <w:tc>
          <w:tcPr>
            <w:tcW w:w="9640" w:type="dxa"/>
            <w:gridSpan w:val="8"/>
            <w:tcBorders>
              <w:top w:val="nil"/>
              <w:left w:val="nil"/>
              <w:bottom w:val="nil"/>
              <w:right w:val="nil"/>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w:t>
            </w:r>
            <w:r>
              <w:rPr>
                <w:kern w:val="0"/>
                <w:sz w:val="24"/>
              </w:rPr>
              <w:t>2021</w:t>
            </w:r>
            <w:r>
              <w:rPr>
                <w:rFonts w:hint="eastAsia" w:ascii="宋体" w:hAnsi="宋体" w:cs="宋体"/>
                <w:kern w:val="0"/>
                <w:sz w:val="24"/>
              </w:rPr>
              <w:t>年度）</w:t>
            </w:r>
          </w:p>
        </w:tc>
      </w:tr>
      <w:tr>
        <w:tblPrEx>
          <w:tblCellMar>
            <w:top w:w="0" w:type="dxa"/>
            <w:left w:w="108" w:type="dxa"/>
            <w:bottom w:w="0" w:type="dxa"/>
            <w:right w:w="108" w:type="dxa"/>
          </w:tblCellMar>
        </w:tblPrEx>
        <w:trPr>
          <w:trHeight w:val="540" w:hRule="atLeast"/>
        </w:trPr>
        <w:tc>
          <w:tcPr>
            <w:tcW w:w="158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单位名称</w:t>
            </w:r>
          </w:p>
        </w:tc>
        <w:tc>
          <w:tcPr>
            <w:tcW w:w="806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攀枝花市西区人民检察院</w:t>
            </w:r>
          </w:p>
        </w:tc>
      </w:tr>
      <w:tr>
        <w:tblPrEx>
          <w:tblCellMar>
            <w:top w:w="0" w:type="dxa"/>
            <w:left w:w="108" w:type="dxa"/>
            <w:bottom w:w="0" w:type="dxa"/>
            <w:right w:w="108" w:type="dxa"/>
          </w:tblCellMar>
        </w:tblPrEx>
        <w:trPr>
          <w:trHeight w:val="540" w:hRule="atLeast"/>
        </w:trPr>
        <w:tc>
          <w:tcPr>
            <w:tcW w:w="15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主管部门名称</w:t>
            </w:r>
          </w:p>
        </w:tc>
        <w:tc>
          <w:tcPr>
            <w:tcW w:w="806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攀枝花市人民检察院</w:t>
            </w:r>
          </w:p>
        </w:tc>
      </w:tr>
      <w:tr>
        <w:tblPrEx>
          <w:tblCellMar>
            <w:top w:w="0" w:type="dxa"/>
            <w:left w:w="108" w:type="dxa"/>
            <w:bottom w:w="0" w:type="dxa"/>
            <w:right w:w="108" w:type="dxa"/>
          </w:tblCellMar>
        </w:tblPrEx>
        <w:trPr>
          <w:trHeight w:val="540" w:hRule="atLeast"/>
        </w:trPr>
        <w:tc>
          <w:tcPr>
            <w:tcW w:w="158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全年预算数</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实际完成数</w:t>
            </w:r>
          </w:p>
        </w:tc>
        <w:tc>
          <w:tcPr>
            <w:tcW w:w="17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执行率（%）</w:t>
            </w:r>
          </w:p>
        </w:tc>
      </w:tr>
      <w:tr>
        <w:tblPrEx>
          <w:tblCellMar>
            <w:top w:w="0" w:type="dxa"/>
            <w:left w:w="108" w:type="dxa"/>
            <w:bottom w:w="0" w:type="dxa"/>
            <w:right w:w="108" w:type="dxa"/>
          </w:tblCellMar>
        </w:tblPrEx>
        <w:trPr>
          <w:trHeight w:val="540" w:hRule="atLeast"/>
        </w:trPr>
        <w:tc>
          <w:tcPr>
            <w:tcW w:w="15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年度资金总额：</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11592717.52</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11592717.52</w:t>
            </w:r>
          </w:p>
        </w:tc>
        <w:tc>
          <w:tcPr>
            <w:tcW w:w="17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100%</w:t>
            </w:r>
          </w:p>
        </w:tc>
      </w:tr>
      <w:tr>
        <w:tblPrEx>
          <w:tblCellMar>
            <w:top w:w="0" w:type="dxa"/>
            <w:left w:w="108" w:type="dxa"/>
            <w:bottom w:w="0" w:type="dxa"/>
            <w:right w:w="108" w:type="dxa"/>
          </w:tblCellMar>
        </w:tblPrEx>
        <w:trPr>
          <w:trHeight w:val="540" w:hRule="atLeast"/>
        </w:trPr>
        <w:tc>
          <w:tcPr>
            <w:tcW w:w="15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其中：财政拨款</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10644234.02</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10644234.02</w:t>
            </w:r>
          </w:p>
        </w:tc>
        <w:tc>
          <w:tcPr>
            <w:tcW w:w="17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100%</w:t>
            </w:r>
          </w:p>
        </w:tc>
      </w:tr>
      <w:tr>
        <w:tblPrEx>
          <w:tblCellMar>
            <w:top w:w="0" w:type="dxa"/>
            <w:left w:w="108" w:type="dxa"/>
            <w:bottom w:w="0" w:type="dxa"/>
            <w:right w:w="108" w:type="dxa"/>
          </w:tblCellMar>
        </w:tblPrEx>
        <w:trPr>
          <w:trHeight w:val="540" w:hRule="atLeast"/>
        </w:trPr>
        <w:tc>
          <w:tcPr>
            <w:tcW w:w="15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其他资金</w:t>
            </w:r>
          </w:p>
        </w:tc>
        <w:tc>
          <w:tcPr>
            <w:tcW w:w="16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948483.5</w:t>
            </w:r>
          </w:p>
        </w:tc>
        <w:tc>
          <w:tcPr>
            <w:tcW w:w="18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948483.5</w:t>
            </w:r>
          </w:p>
        </w:tc>
        <w:tc>
          <w:tcPr>
            <w:tcW w:w="17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100%</w:t>
            </w:r>
          </w:p>
        </w:tc>
      </w:tr>
      <w:tr>
        <w:tblPrEx>
          <w:tblCellMar>
            <w:top w:w="0" w:type="dxa"/>
            <w:left w:w="108" w:type="dxa"/>
            <w:bottom w:w="0" w:type="dxa"/>
            <w:right w:w="108" w:type="dxa"/>
          </w:tblCellMar>
        </w:tblPrEx>
        <w:trPr>
          <w:trHeight w:val="540" w:hRule="atLeast"/>
        </w:trPr>
        <w:tc>
          <w:tcPr>
            <w:tcW w:w="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总</w:t>
            </w:r>
            <w:r>
              <w:rPr>
                <w:rFonts w:hint="eastAsia" w:ascii="宋体" w:hAnsi="宋体" w:cs="宋体"/>
                <w:kern w:val="0"/>
                <w:sz w:val="24"/>
              </w:rPr>
              <w:br w:type="textWrapping"/>
            </w:r>
            <w:r>
              <w:rPr>
                <w:rFonts w:hint="eastAsia" w:ascii="宋体" w:hAnsi="宋体" w:cs="宋体"/>
                <w:kern w:val="0"/>
                <w:sz w:val="24"/>
              </w:rPr>
              <w:t>体</w:t>
            </w:r>
            <w:r>
              <w:rPr>
                <w:rFonts w:hint="eastAsia" w:ascii="宋体" w:hAnsi="宋体" w:cs="宋体"/>
                <w:kern w:val="0"/>
                <w:sz w:val="24"/>
              </w:rPr>
              <w:br w:type="textWrapping"/>
            </w:r>
            <w:r>
              <w:rPr>
                <w:rFonts w:hint="eastAsia" w:ascii="宋体" w:hAnsi="宋体" w:cs="宋体"/>
                <w:kern w:val="0"/>
                <w:sz w:val="24"/>
              </w:rPr>
              <w:t>目</w:t>
            </w:r>
            <w:r>
              <w:rPr>
                <w:rFonts w:hint="eastAsia" w:ascii="宋体" w:hAnsi="宋体" w:cs="宋体"/>
                <w:kern w:val="0"/>
                <w:sz w:val="24"/>
              </w:rPr>
              <w:br w:type="textWrapping"/>
            </w:r>
            <w:r>
              <w:rPr>
                <w:rFonts w:hint="eastAsia" w:ascii="宋体" w:hAnsi="宋体" w:cs="宋体"/>
                <w:kern w:val="0"/>
                <w:sz w:val="24"/>
              </w:rPr>
              <w:t>标</w:t>
            </w:r>
          </w:p>
        </w:tc>
        <w:tc>
          <w:tcPr>
            <w:tcW w:w="388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年度设定目标</w:t>
            </w:r>
          </w:p>
        </w:tc>
        <w:tc>
          <w:tcPr>
            <w:tcW w:w="52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155"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3880" w:type="dxa"/>
            <w:gridSpan w:val="3"/>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cs="宋体"/>
                <w:kern w:val="0"/>
                <w:sz w:val="24"/>
              </w:rPr>
            </w:pPr>
            <w:r>
              <w:rPr>
                <w:rFonts w:hint="eastAsia" w:ascii="宋体" w:hAnsi="宋体" w:cs="宋体"/>
                <w:kern w:val="0"/>
                <w:sz w:val="24"/>
              </w:rPr>
              <w:br w:type="textWrapping"/>
            </w:r>
            <w:r>
              <w:rPr>
                <w:rFonts w:hint="eastAsia" w:ascii="宋体" w:hAnsi="宋体" w:cs="宋体"/>
                <w:kern w:val="0"/>
                <w:sz w:val="24"/>
              </w:rPr>
              <w:t>保障检察业务的正常运行，完成12309办案大厅改造，建电子卷宗2.0系统，云桌面、智慧管理平台、换装等项目。</w:t>
            </w:r>
          </w:p>
        </w:tc>
        <w:tc>
          <w:tcPr>
            <w:tcW w:w="526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保障检察业务的正常运行，完成12309办案大厅改造，建电子卷宗2.0系统，云桌面、智慧管理平台、换装等项目。</w:t>
            </w:r>
          </w:p>
        </w:tc>
      </w:tr>
      <w:tr>
        <w:tblPrEx>
          <w:tblCellMar>
            <w:top w:w="0" w:type="dxa"/>
            <w:left w:w="108" w:type="dxa"/>
            <w:bottom w:w="0" w:type="dxa"/>
            <w:right w:w="108" w:type="dxa"/>
          </w:tblCellMar>
        </w:tblPrEx>
        <w:trPr>
          <w:trHeight w:val="1245" w:hRule="atLeast"/>
        </w:trPr>
        <w:tc>
          <w:tcPr>
            <w:tcW w:w="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一级</w:t>
            </w:r>
            <w:r>
              <w:rPr>
                <w:rFonts w:hint="eastAsia" w:ascii="宋体" w:hAnsi="宋体" w:cs="宋体"/>
                <w:kern w:val="0"/>
                <w:sz w:val="24"/>
              </w:rPr>
              <w:br w:type="textWrapping"/>
            </w:r>
            <w:r>
              <w:rPr>
                <w:rFonts w:hint="eastAsia" w:ascii="宋体" w:hAnsi="宋体" w:cs="宋体"/>
                <w:kern w:val="0"/>
                <w:sz w:val="24"/>
              </w:rPr>
              <w:t>指标</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二级指标</w:t>
            </w:r>
          </w:p>
        </w:tc>
        <w:tc>
          <w:tcPr>
            <w:tcW w:w="2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三级指标</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年度指标值</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实际完成数</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完成率（%）</w:t>
            </w:r>
          </w:p>
        </w:tc>
        <w:tc>
          <w:tcPr>
            <w:tcW w:w="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未完成原因和改进措施</w:t>
            </w:r>
          </w:p>
        </w:tc>
      </w:tr>
      <w:tr>
        <w:tblPrEx>
          <w:tblCellMar>
            <w:top w:w="0" w:type="dxa"/>
            <w:left w:w="108" w:type="dxa"/>
            <w:bottom w:w="0" w:type="dxa"/>
            <w:right w:w="108" w:type="dxa"/>
          </w:tblCellMar>
        </w:tblPrEx>
        <w:trPr>
          <w:trHeight w:val="54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项目完成</w:t>
            </w:r>
          </w:p>
        </w:tc>
        <w:tc>
          <w:tcPr>
            <w:tcW w:w="54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数量指标</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指标1：审查逮捕人数（人)</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113件149人</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4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指标2：提请批准延长羁押人数（人）</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8人</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4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指标3：审查起诉人数（人）</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250件370人</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4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指标4：二审上诉案件办理数（件）</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4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指标5：立案监督案件办理数（人）</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17.5件</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21人</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4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指标6：侦查活动违法监督数（件）</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12.7件</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28件</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4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指标7：审判活动违法监督数（件）</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2.1件</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3件</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4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指标8：刑事案件提出抗诉数（件）</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1.85件</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1件</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4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指标9：民事案件办理数（件）</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45</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45件</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4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指标10：行政案件办理数（件）</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9</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7件</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案源不足</w:t>
            </w:r>
          </w:p>
        </w:tc>
      </w:tr>
      <w:tr>
        <w:tblPrEx>
          <w:tblCellMar>
            <w:top w:w="0" w:type="dxa"/>
            <w:left w:w="108" w:type="dxa"/>
            <w:bottom w:w="0" w:type="dxa"/>
            <w:right w:w="108" w:type="dxa"/>
          </w:tblCellMar>
        </w:tblPrEx>
        <w:trPr>
          <w:trHeight w:val="54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指标11：公益诉讼案件办理数（件）</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46</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47件</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4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指标12：各类信访案件办理数（件）</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32件</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4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指标13：国家司法救助人数（件）</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5</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5件9人</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4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指标14：刑事申诉案件办理数（件）</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4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指标15：审查减刑、假释、暂予监外执行案件数（件）</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1件</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4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指标16：刑罚执行监管违法提出纠正案件数（件）</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3件</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4件</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4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指标17：羁押必要性审查案件初审数（件）</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37件</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4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指标18：检察技术案件办理数（件）</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10件</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4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指标19：检察技术案件办理数（件）</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16件</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4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指标20：购置检察业务技术装备（台套）</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4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指标21：购置视频会议系统设备数量（台套）</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4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指标22：购置信息网络设备数量（台套）</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1套</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4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指标23：购置其他业务装备（台套）</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3台</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4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rPr>
            </w:pP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指标24：软件（台套）</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2套</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4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质量指标</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指标1：法律规定时间内完成办案</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准时</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准时</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4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指标2：法律程序内完成办案</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程序合法</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程序合法</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825"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指标3：案件办结率</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逮捕案件/起诉案件</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逮捕案件：96.43%；起诉案件：87.19%</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4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指标4：购置装备合格率</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4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时效指标</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指标1：完成时间</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2021年</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2021年</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4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指标2：业务装备采购及时性</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及时</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及时</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4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指标3：资金下拨及时性</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及时</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及时</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4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指标4：购置装备到位率</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到位</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到位</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75"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成本指标</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指标1：财政拨款</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11592717.52</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11592717.52</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90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540"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社会效益</w:t>
            </w:r>
            <w:r>
              <w:rPr>
                <w:rFonts w:hint="eastAsia" w:ascii="宋体" w:hAnsi="宋体" w:cs="宋体"/>
                <w:kern w:val="0"/>
                <w:sz w:val="24"/>
              </w:rPr>
              <w:br w:type="textWrapping"/>
            </w:r>
            <w:r>
              <w:rPr>
                <w:rFonts w:hint="eastAsia" w:ascii="宋体" w:hAnsi="宋体" w:cs="宋体"/>
                <w:kern w:val="0"/>
                <w:sz w:val="24"/>
              </w:rPr>
              <w:t>指标</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指标1：化解社会矛盾，为经济社会发展提供良好环境</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保障</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保障</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75"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指标2：促进改善办公基础设施和办案条件</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保证</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保证</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87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可持续影响</w:t>
            </w:r>
            <w:r>
              <w:rPr>
                <w:rFonts w:hint="eastAsia" w:ascii="宋体" w:hAnsi="宋体" w:cs="宋体"/>
                <w:kern w:val="0"/>
                <w:sz w:val="24"/>
              </w:rPr>
              <w:br w:type="textWrapping"/>
            </w:r>
            <w:r>
              <w:rPr>
                <w:rFonts w:hint="eastAsia" w:ascii="宋体" w:hAnsi="宋体" w:cs="宋体"/>
                <w:kern w:val="0"/>
                <w:sz w:val="24"/>
              </w:rPr>
              <w:t>指标</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指标1：对基层检察机关办案经费保障力度持续加强</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加强</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加强</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855"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指标2：对基层检察机关办案装备经费保障力度持续加强</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加强</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加强</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4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满意度指标</w:t>
            </w:r>
          </w:p>
        </w:tc>
        <w:tc>
          <w:tcPr>
            <w:tcW w:w="5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满意度指标</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指标1：群众满意度</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满意</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满意</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4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指标2：办案人员满意度</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满意</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满意</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bl>
    <w:p>
      <w:pPr>
        <w:pStyle w:val="2"/>
        <w:spacing w:before="72"/>
      </w:pPr>
    </w:p>
    <w:tbl>
      <w:tblPr>
        <w:tblStyle w:val="8"/>
        <w:tblW w:w="8980" w:type="dxa"/>
        <w:tblInd w:w="91" w:type="dxa"/>
        <w:tblLayout w:type="autofit"/>
        <w:tblCellMar>
          <w:top w:w="0" w:type="dxa"/>
          <w:left w:w="108" w:type="dxa"/>
          <w:bottom w:w="0" w:type="dxa"/>
          <w:right w:w="108" w:type="dxa"/>
        </w:tblCellMar>
      </w:tblPr>
      <w:tblGrid>
        <w:gridCol w:w="638"/>
        <w:gridCol w:w="655"/>
        <w:gridCol w:w="871"/>
        <w:gridCol w:w="1582"/>
        <w:gridCol w:w="1116"/>
        <w:gridCol w:w="1316"/>
        <w:gridCol w:w="1314"/>
        <w:gridCol w:w="1488"/>
      </w:tblGrid>
      <w:tr>
        <w:tblPrEx>
          <w:tblCellMar>
            <w:top w:w="0" w:type="dxa"/>
            <w:left w:w="108" w:type="dxa"/>
            <w:bottom w:w="0" w:type="dxa"/>
            <w:right w:w="108" w:type="dxa"/>
          </w:tblCellMar>
        </w:tblPrEx>
        <w:trPr>
          <w:trHeight w:val="285" w:hRule="atLeast"/>
        </w:trPr>
        <w:tc>
          <w:tcPr>
            <w:tcW w:w="8980" w:type="dxa"/>
            <w:gridSpan w:val="8"/>
            <w:tcBorders>
              <w:top w:val="nil"/>
              <w:left w:val="nil"/>
              <w:bottom w:val="nil"/>
              <w:right w:val="nil"/>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 xml:space="preserve">中央政法纪检监察转移支付区域（项目）绩效目标自评表 </w:t>
            </w:r>
          </w:p>
        </w:tc>
      </w:tr>
      <w:tr>
        <w:tblPrEx>
          <w:tblCellMar>
            <w:top w:w="0" w:type="dxa"/>
            <w:left w:w="108" w:type="dxa"/>
            <w:bottom w:w="0" w:type="dxa"/>
            <w:right w:w="108" w:type="dxa"/>
          </w:tblCellMar>
        </w:tblPrEx>
        <w:trPr>
          <w:trHeight w:val="270" w:hRule="atLeast"/>
        </w:trPr>
        <w:tc>
          <w:tcPr>
            <w:tcW w:w="8980" w:type="dxa"/>
            <w:gridSpan w:val="8"/>
            <w:tcBorders>
              <w:top w:val="nil"/>
              <w:left w:val="nil"/>
              <w:bottom w:val="single" w:color="auto" w:sz="4" w:space="0"/>
              <w:right w:val="nil"/>
            </w:tcBorders>
            <w:shd w:val="clear" w:color="auto" w:fill="auto"/>
          </w:tcPr>
          <w:p>
            <w:pPr>
              <w:widowControl/>
              <w:jc w:val="center"/>
              <w:rPr>
                <w:rFonts w:ascii="宋体" w:hAnsi="宋体" w:cs="宋体"/>
                <w:kern w:val="0"/>
                <w:sz w:val="22"/>
                <w:szCs w:val="22"/>
              </w:rPr>
            </w:pPr>
            <w:r>
              <w:rPr>
                <w:rFonts w:hint="eastAsia" w:ascii="宋体" w:hAnsi="宋体" w:cs="宋体"/>
                <w:kern w:val="0"/>
                <w:sz w:val="22"/>
                <w:szCs w:val="22"/>
              </w:rPr>
              <w:t>（2021年度）</w:t>
            </w:r>
          </w:p>
        </w:tc>
      </w:tr>
      <w:tr>
        <w:tblPrEx>
          <w:tblCellMar>
            <w:top w:w="0" w:type="dxa"/>
            <w:left w:w="108" w:type="dxa"/>
            <w:bottom w:w="0" w:type="dxa"/>
            <w:right w:w="108" w:type="dxa"/>
          </w:tblCellMar>
        </w:tblPrEx>
        <w:trPr>
          <w:trHeight w:val="240" w:hRule="atLeast"/>
        </w:trPr>
        <w:tc>
          <w:tcPr>
            <w:tcW w:w="21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转移支付（项目）名称</w:t>
            </w:r>
          </w:p>
        </w:tc>
        <w:tc>
          <w:tcPr>
            <w:tcW w:w="681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中央政法纪检监察转移支付资金（检察系统）</w:t>
            </w:r>
          </w:p>
        </w:tc>
      </w:tr>
      <w:tr>
        <w:tblPrEx>
          <w:tblCellMar>
            <w:top w:w="0" w:type="dxa"/>
            <w:left w:w="108" w:type="dxa"/>
            <w:bottom w:w="0" w:type="dxa"/>
            <w:right w:w="108" w:type="dxa"/>
          </w:tblCellMar>
        </w:tblPrEx>
        <w:trPr>
          <w:trHeight w:val="240" w:hRule="atLeast"/>
        </w:trPr>
        <w:tc>
          <w:tcPr>
            <w:tcW w:w="21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中央主管部门</w:t>
            </w:r>
          </w:p>
        </w:tc>
        <w:tc>
          <w:tcPr>
            <w:tcW w:w="681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最高人民检察院</w:t>
            </w:r>
          </w:p>
        </w:tc>
      </w:tr>
      <w:tr>
        <w:tblPrEx>
          <w:tblCellMar>
            <w:top w:w="0" w:type="dxa"/>
            <w:left w:w="108" w:type="dxa"/>
            <w:bottom w:w="0" w:type="dxa"/>
            <w:right w:w="108" w:type="dxa"/>
          </w:tblCellMar>
        </w:tblPrEx>
        <w:trPr>
          <w:trHeight w:val="480" w:hRule="atLeast"/>
        </w:trPr>
        <w:tc>
          <w:tcPr>
            <w:tcW w:w="21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地方主管部门</w:t>
            </w:r>
          </w:p>
        </w:tc>
        <w:tc>
          <w:tcPr>
            <w:tcW w:w="270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四川省人民检察院</w:t>
            </w:r>
          </w:p>
        </w:tc>
        <w:tc>
          <w:tcPr>
            <w:tcW w:w="12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资金使用单位</w:t>
            </w:r>
          </w:p>
        </w:tc>
        <w:tc>
          <w:tcPr>
            <w:tcW w:w="28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攀枝花市西区人民检察院</w:t>
            </w:r>
          </w:p>
        </w:tc>
      </w:tr>
      <w:tr>
        <w:tblPrEx>
          <w:tblCellMar>
            <w:top w:w="0" w:type="dxa"/>
            <w:left w:w="108" w:type="dxa"/>
            <w:bottom w:w="0" w:type="dxa"/>
            <w:right w:w="108" w:type="dxa"/>
          </w:tblCellMar>
        </w:tblPrEx>
        <w:trPr>
          <w:trHeight w:val="480" w:hRule="atLeast"/>
        </w:trPr>
        <w:tc>
          <w:tcPr>
            <w:tcW w:w="217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项目资金</w:t>
            </w:r>
            <w:r>
              <w:rPr>
                <w:rFonts w:hint="eastAsia" w:ascii="宋体" w:hAnsi="宋体" w:cs="宋体"/>
                <w:kern w:val="0"/>
                <w:sz w:val="20"/>
                <w:szCs w:val="20"/>
              </w:rPr>
              <w:br w:type="textWrapping"/>
            </w:r>
            <w:r>
              <w:rPr>
                <w:rFonts w:hint="eastAsia" w:ascii="宋体" w:hAnsi="宋体" w:cs="宋体"/>
                <w:kern w:val="0"/>
                <w:sz w:val="20"/>
                <w:szCs w:val="20"/>
              </w:rPr>
              <w:t>（万元）</w:t>
            </w:r>
          </w:p>
        </w:tc>
        <w:tc>
          <w:tcPr>
            <w:tcW w:w="15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全年预算数（A）</w:t>
            </w:r>
          </w:p>
        </w:tc>
        <w:tc>
          <w:tcPr>
            <w:tcW w:w="261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全年执行数（B）</w:t>
            </w:r>
          </w:p>
        </w:tc>
        <w:tc>
          <w:tcPr>
            <w:tcW w:w="1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预算执行率（B/A)</w:t>
            </w:r>
          </w:p>
        </w:tc>
      </w:tr>
      <w:tr>
        <w:tblPrEx>
          <w:tblCellMar>
            <w:top w:w="0" w:type="dxa"/>
            <w:left w:w="108" w:type="dxa"/>
            <w:bottom w:w="0" w:type="dxa"/>
            <w:right w:w="108" w:type="dxa"/>
          </w:tblCellMar>
        </w:tblPrEx>
        <w:trPr>
          <w:trHeight w:val="480" w:hRule="atLeast"/>
        </w:trPr>
        <w:tc>
          <w:tcPr>
            <w:tcW w:w="217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5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年度资金总额：</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2908354.8</w:t>
            </w:r>
          </w:p>
        </w:tc>
        <w:tc>
          <w:tcPr>
            <w:tcW w:w="261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987812.8</w:t>
            </w:r>
          </w:p>
        </w:tc>
        <w:tc>
          <w:tcPr>
            <w:tcW w:w="1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33.96%</w:t>
            </w:r>
          </w:p>
        </w:tc>
      </w:tr>
      <w:tr>
        <w:tblPrEx>
          <w:tblCellMar>
            <w:top w:w="0" w:type="dxa"/>
            <w:left w:w="108" w:type="dxa"/>
            <w:bottom w:w="0" w:type="dxa"/>
            <w:right w:w="108" w:type="dxa"/>
          </w:tblCellMar>
        </w:tblPrEx>
        <w:trPr>
          <w:trHeight w:val="480" w:hRule="atLeast"/>
        </w:trPr>
        <w:tc>
          <w:tcPr>
            <w:tcW w:w="217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5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其中：中央补助</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1410000</w:t>
            </w:r>
          </w:p>
        </w:tc>
        <w:tc>
          <w:tcPr>
            <w:tcW w:w="261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39329.3</w:t>
            </w:r>
          </w:p>
        </w:tc>
        <w:tc>
          <w:tcPr>
            <w:tcW w:w="1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2.79%</w:t>
            </w:r>
          </w:p>
        </w:tc>
      </w:tr>
      <w:tr>
        <w:tblPrEx>
          <w:tblCellMar>
            <w:top w:w="0" w:type="dxa"/>
            <w:left w:w="108" w:type="dxa"/>
            <w:bottom w:w="0" w:type="dxa"/>
            <w:right w:w="108" w:type="dxa"/>
          </w:tblCellMar>
        </w:tblPrEx>
        <w:trPr>
          <w:trHeight w:val="480" w:hRule="atLeast"/>
        </w:trPr>
        <w:tc>
          <w:tcPr>
            <w:tcW w:w="217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5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地方资金</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61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217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5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w:t>
            </w:r>
            <w:r>
              <w:rPr>
                <w:rFonts w:hint="eastAsia" w:ascii="宋体" w:hAnsi="宋体" w:cs="宋体"/>
                <w:kern w:val="0"/>
                <w:sz w:val="20"/>
                <w:szCs w:val="20"/>
              </w:rPr>
              <w:t xml:space="preserve">  其他资金</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1498354.8</w:t>
            </w:r>
          </w:p>
        </w:tc>
        <w:tc>
          <w:tcPr>
            <w:tcW w:w="261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948483.5</w:t>
            </w:r>
          </w:p>
        </w:tc>
        <w:tc>
          <w:tcPr>
            <w:tcW w:w="1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63.30%</w:t>
            </w:r>
          </w:p>
        </w:tc>
      </w:tr>
      <w:tr>
        <w:tblPrEx>
          <w:tblCellMar>
            <w:top w:w="0" w:type="dxa"/>
            <w:left w:w="108" w:type="dxa"/>
            <w:bottom w:w="0" w:type="dxa"/>
            <w:right w:w="108" w:type="dxa"/>
          </w:tblCellMar>
        </w:tblPrEx>
        <w:trPr>
          <w:trHeight w:val="375" w:hRule="atLeast"/>
        </w:trPr>
        <w:tc>
          <w:tcPr>
            <w:tcW w:w="63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总体目标完成情况</w:t>
            </w:r>
          </w:p>
        </w:tc>
        <w:tc>
          <w:tcPr>
            <w:tcW w:w="4235"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总体目标</w:t>
            </w:r>
          </w:p>
        </w:tc>
        <w:tc>
          <w:tcPr>
            <w:tcW w:w="4106"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全年实际完成情况</w:t>
            </w:r>
          </w:p>
        </w:tc>
      </w:tr>
      <w:tr>
        <w:tblPrEx>
          <w:tblCellMar>
            <w:top w:w="0" w:type="dxa"/>
            <w:left w:w="108" w:type="dxa"/>
            <w:bottom w:w="0" w:type="dxa"/>
            <w:right w:w="108" w:type="dxa"/>
          </w:tblCellMar>
        </w:tblPrEx>
        <w:trPr>
          <w:trHeight w:val="765" w:hRule="atLeast"/>
        </w:trPr>
        <w:tc>
          <w:tcPr>
            <w:tcW w:w="63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23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保障办案需要的交通、培训、差旅费、装备等支出。</w:t>
            </w:r>
          </w:p>
        </w:tc>
        <w:tc>
          <w:tcPr>
            <w:tcW w:w="410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办案的日常开销基本保证，装备采购稍慢。</w:t>
            </w:r>
          </w:p>
        </w:tc>
      </w:tr>
      <w:tr>
        <w:tblPrEx>
          <w:tblCellMar>
            <w:top w:w="0" w:type="dxa"/>
            <w:left w:w="108" w:type="dxa"/>
            <w:bottom w:w="0" w:type="dxa"/>
            <w:right w:w="108" w:type="dxa"/>
          </w:tblCellMar>
        </w:tblPrEx>
        <w:trPr>
          <w:trHeight w:val="480" w:hRule="atLeast"/>
        </w:trPr>
        <w:tc>
          <w:tcPr>
            <w:tcW w:w="639"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kern w:val="0"/>
                <w:sz w:val="20"/>
                <w:szCs w:val="20"/>
              </w:rPr>
            </w:pPr>
            <w:r>
              <w:rPr>
                <w:rFonts w:hint="eastAsia" w:ascii="宋体" w:hAnsi="宋体" w:cs="宋体"/>
                <w:kern w:val="0"/>
                <w:sz w:val="20"/>
                <w:szCs w:val="20"/>
              </w:rPr>
              <w:t>绩效指标</w:t>
            </w:r>
          </w:p>
        </w:tc>
        <w:tc>
          <w:tcPr>
            <w:tcW w:w="6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一级</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8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二级指标</w:t>
            </w:r>
          </w:p>
        </w:tc>
        <w:tc>
          <w:tcPr>
            <w:tcW w:w="270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三级指标</w:t>
            </w:r>
          </w:p>
        </w:tc>
        <w:tc>
          <w:tcPr>
            <w:tcW w:w="12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指标值</w:t>
            </w:r>
          </w:p>
        </w:tc>
        <w:tc>
          <w:tcPr>
            <w:tcW w:w="13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全年实际完成值</w:t>
            </w:r>
          </w:p>
        </w:tc>
        <w:tc>
          <w:tcPr>
            <w:tcW w:w="1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未完成原因和改进措施</w:t>
            </w:r>
          </w:p>
        </w:tc>
      </w:tr>
      <w:tr>
        <w:tblPrEx>
          <w:tblCellMar>
            <w:top w:w="0" w:type="dxa"/>
            <w:left w:w="108" w:type="dxa"/>
            <w:bottom w:w="0" w:type="dxa"/>
            <w:right w:w="108" w:type="dxa"/>
          </w:tblCellMar>
        </w:tblPrEx>
        <w:trPr>
          <w:trHeight w:val="480" w:hRule="atLeast"/>
        </w:trPr>
        <w:tc>
          <w:tcPr>
            <w:tcW w:w="6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产</w:t>
            </w:r>
            <w:r>
              <w:rPr>
                <w:rFonts w:hint="eastAsia" w:ascii="宋体" w:hAnsi="宋体" w:cs="宋体"/>
                <w:kern w:val="0"/>
                <w:sz w:val="20"/>
                <w:szCs w:val="20"/>
              </w:rPr>
              <w:br w:type="textWrapping"/>
            </w:r>
            <w:r>
              <w:rPr>
                <w:rFonts w:hint="eastAsia" w:ascii="宋体" w:hAnsi="宋体" w:cs="宋体"/>
                <w:kern w:val="0"/>
                <w:sz w:val="20"/>
                <w:szCs w:val="20"/>
              </w:rPr>
              <w:t>出</w:t>
            </w:r>
            <w:r>
              <w:rPr>
                <w:rFonts w:hint="eastAsia" w:ascii="宋体" w:hAnsi="宋体" w:cs="宋体"/>
                <w:kern w:val="0"/>
                <w:sz w:val="20"/>
                <w:szCs w:val="20"/>
              </w:rPr>
              <w:br w:type="textWrapping"/>
            </w:r>
            <w:r>
              <w:rPr>
                <w:rFonts w:hint="eastAsia" w:ascii="宋体" w:hAnsi="宋体" w:cs="宋体"/>
                <w:kern w:val="0"/>
                <w:sz w:val="20"/>
                <w:szCs w:val="20"/>
              </w:rPr>
              <w:t>指</w:t>
            </w:r>
            <w:r>
              <w:rPr>
                <w:rFonts w:hint="eastAsia" w:ascii="宋体" w:hAnsi="宋体" w:cs="宋体"/>
                <w:kern w:val="0"/>
                <w:sz w:val="20"/>
                <w:szCs w:val="20"/>
              </w:rPr>
              <w:br w:type="textWrapping"/>
            </w:r>
            <w:r>
              <w:rPr>
                <w:rFonts w:hint="eastAsia" w:ascii="宋体" w:hAnsi="宋体" w:cs="宋体"/>
                <w:kern w:val="0"/>
                <w:sz w:val="20"/>
                <w:szCs w:val="20"/>
              </w:rPr>
              <w:t>标</w:t>
            </w:r>
          </w:p>
        </w:tc>
        <w:tc>
          <w:tcPr>
            <w:tcW w:w="87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数量指标</w:t>
            </w:r>
          </w:p>
        </w:tc>
        <w:tc>
          <w:tcPr>
            <w:tcW w:w="270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审查逮捕人数(人)</w:t>
            </w:r>
          </w:p>
        </w:tc>
        <w:tc>
          <w:tcPr>
            <w:tcW w:w="12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113件149人</w:t>
            </w:r>
          </w:p>
        </w:tc>
        <w:tc>
          <w:tcPr>
            <w:tcW w:w="1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6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70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审查起诉人数（人）</w:t>
            </w:r>
          </w:p>
        </w:tc>
        <w:tc>
          <w:tcPr>
            <w:tcW w:w="12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250件370人</w:t>
            </w:r>
          </w:p>
        </w:tc>
        <w:tc>
          <w:tcPr>
            <w:tcW w:w="1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065" w:hRule="atLeast"/>
        </w:trPr>
        <w:tc>
          <w:tcPr>
            <w:tcW w:w="6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70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立案监督案件办理数（人）</w:t>
            </w:r>
          </w:p>
        </w:tc>
        <w:tc>
          <w:tcPr>
            <w:tcW w:w="12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受理审查起诉案件数的7%:250件×7%=17.5件</w:t>
            </w:r>
          </w:p>
        </w:tc>
        <w:tc>
          <w:tcPr>
            <w:tcW w:w="13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19件21人</w:t>
            </w:r>
          </w:p>
        </w:tc>
        <w:tc>
          <w:tcPr>
            <w:tcW w:w="1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440" w:hRule="atLeast"/>
        </w:trPr>
        <w:tc>
          <w:tcPr>
            <w:tcW w:w="6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70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侦查活动违法监督数（件）</w:t>
            </w:r>
          </w:p>
        </w:tc>
        <w:tc>
          <w:tcPr>
            <w:tcW w:w="12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受理案件数的3.5%：（113件+250件）×3.5%=12.7件</w:t>
            </w:r>
          </w:p>
        </w:tc>
        <w:tc>
          <w:tcPr>
            <w:tcW w:w="13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28件</w:t>
            </w:r>
          </w:p>
        </w:tc>
        <w:tc>
          <w:tcPr>
            <w:tcW w:w="1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200" w:hRule="atLeast"/>
        </w:trPr>
        <w:tc>
          <w:tcPr>
            <w:tcW w:w="6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70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审判活动违法监督数（件）</w:t>
            </w:r>
          </w:p>
        </w:tc>
        <w:tc>
          <w:tcPr>
            <w:tcW w:w="12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不低于提起公诉案件数的11‰：192件×11‰=2.1件</w:t>
            </w:r>
          </w:p>
        </w:tc>
        <w:tc>
          <w:tcPr>
            <w:tcW w:w="13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3件</w:t>
            </w:r>
          </w:p>
        </w:tc>
        <w:tc>
          <w:tcPr>
            <w:tcW w:w="1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440" w:hRule="atLeast"/>
        </w:trPr>
        <w:tc>
          <w:tcPr>
            <w:tcW w:w="6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70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刑事案件提出抗诉数（件）</w:t>
            </w:r>
          </w:p>
        </w:tc>
        <w:tc>
          <w:tcPr>
            <w:tcW w:w="12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不低于同期法院一审裁判数的10‰：185件×10‰=1.85件</w:t>
            </w:r>
          </w:p>
        </w:tc>
        <w:tc>
          <w:tcPr>
            <w:tcW w:w="13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6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70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民事案件办理数（件）</w:t>
            </w:r>
          </w:p>
        </w:tc>
        <w:tc>
          <w:tcPr>
            <w:tcW w:w="12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45</w:t>
            </w:r>
          </w:p>
        </w:tc>
        <w:tc>
          <w:tcPr>
            <w:tcW w:w="13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45</w:t>
            </w:r>
          </w:p>
        </w:tc>
        <w:tc>
          <w:tcPr>
            <w:tcW w:w="1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6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70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行政案件办理数（件）</w:t>
            </w:r>
          </w:p>
        </w:tc>
        <w:tc>
          <w:tcPr>
            <w:tcW w:w="12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3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7</w:t>
            </w:r>
          </w:p>
        </w:tc>
        <w:tc>
          <w:tcPr>
            <w:tcW w:w="1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案源不足</w:t>
            </w:r>
          </w:p>
        </w:tc>
      </w:tr>
      <w:tr>
        <w:tblPrEx>
          <w:tblCellMar>
            <w:top w:w="0" w:type="dxa"/>
            <w:left w:w="108" w:type="dxa"/>
            <w:bottom w:w="0" w:type="dxa"/>
            <w:right w:w="108" w:type="dxa"/>
          </w:tblCellMar>
        </w:tblPrEx>
        <w:trPr>
          <w:trHeight w:val="240" w:hRule="atLeast"/>
        </w:trPr>
        <w:tc>
          <w:tcPr>
            <w:tcW w:w="6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70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公益诉讼案件办理数（件）</w:t>
            </w:r>
          </w:p>
        </w:tc>
        <w:tc>
          <w:tcPr>
            <w:tcW w:w="12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46</w:t>
            </w:r>
          </w:p>
        </w:tc>
        <w:tc>
          <w:tcPr>
            <w:tcW w:w="13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47</w:t>
            </w:r>
          </w:p>
        </w:tc>
        <w:tc>
          <w:tcPr>
            <w:tcW w:w="1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6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70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各类信访案件办理数（件）</w:t>
            </w:r>
          </w:p>
        </w:tc>
        <w:tc>
          <w:tcPr>
            <w:tcW w:w="12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32</w:t>
            </w:r>
          </w:p>
        </w:tc>
        <w:tc>
          <w:tcPr>
            <w:tcW w:w="1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6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70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国家司法救助人数（人）</w:t>
            </w:r>
          </w:p>
        </w:tc>
        <w:tc>
          <w:tcPr>
            <w:tcW w:w="12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3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5</w:t>
            </w:r>
          </w:p>
        </w:tc>
        <w:tc>
          <w:tcPr>
            <w:tcW w:w="1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市院调整了指标</w:t>
            </w:r>
          </w:p>
        </w:tc>
      </w:tr>
      <w:tr>
        <w:tblPrEx>
          <w:tblCellMar>
            <w:top w:w="0" w:type="dxa"/>
            <w:left w:w="108" w:type="dxa"/>
            <w:bottom w:w="0" w:type="dxa"/>
            <w:right w:w="108" w:type="dxa"/>
          </w:tblCellMar>
        </w:tblPrEx>
        <w:trPr>
          <w:trHeight w:val="240" w:hRule="atLeast"/>
        </w:trPr>
        <w:tc>
          <w:tcPr>
            <w:tcW w:w="6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70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刑事申诉案件办理数（件）</w:t>
            </w:r>
          </w:p>
        </w:tc>
        <w:tc>
          <w:tcPr>
            <w:tcW w:w="12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6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70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审查减刑、假释、暂予监外执行案件数（件）</w:t>
            </w:r>
          </w:p>
        </w:tc>
        <w:tc>
          <w:tcPr>
            <w:tcW w:w="12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1</w:t>
            </w:r>
          </w:p>
        </w:tc>
        <w:tc>
          <w:tcPr>
            <w:tcW w:w="1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6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70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刑罚执行监管违法提出纠正案件数（件）</w:t>
            </w:r>
          </w:p>
        </w:tc>
        <w:tc>
          <w:tcPr>
            <w:tcW w:w="12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3件</w:t>
            </w:r>
          </w:p>
        </w:tc>
        <w:tc>
          <w:tcPr>
            <w:tcW w:w="13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4</w:t>
            </w:r>
          </w:p>
        </w:tc>
        <w:tc>
          <w:tcPr>
            <w:tcW w:w="1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6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70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羁押必要性审查案件初审数（件）</w:t>
            </w:r>
          </w:p>
        </w:tc>
        <w:tc>
          <w:tcPr>
            <w:tcW w:w="12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37</w:t>
            </w:r>
          </w:p>
        </w:tc>
        <w:tc>
          <w:tcPr>
            <w:tcW w:w="1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6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70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检察技术案件办理数（件）</w:t>
            </w:r>
          </w:p>
        </w:tc>
        <w:tc>
          <w:tcPr>
            <w:tcW w:w="12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16</w:t>
            </w:r>
          </w:p>
        </w:tc>
        <w:tc>
          <w:tcPr>
            <w:tcW w:w="1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6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70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购置信息网络设备数量(台套)</w:t>
            </w:r>
          </w:p>
        </w:tc>
        <w:tc>
          <w:tcPr>
            <w:tcW w:w="12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3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1</w:t>
            </w:r>
          </w:p>
        </w:tc>
        <w:tc>
          <w:tcPr>
            <w:tcW w:w="1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6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70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购置其他业务装备数量(台套)</w:t>
            </w:r>
          </w:p>
        </w:tc>
        <w:tc>
          <w:tcPr>
            <w:tcW w:w="12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3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3</w:t>
            </w:r>
          </w:p>
        </w:tc>
        <w:tc>
          <w:tcPr>
            <w:tcW w:w="1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6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70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软件</w:t>
            </w:r>
          </w:p>
        </w:tc>
        <w:tc>
          <w:tcPr>
            <w:tcW w:w="12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3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2</w:t>
            </w:r>
          </w:p>
        </w:tc>
        <w:tc>
          <w:tcPr>
            <w:tcW w:w="1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855" w:hRule="atLeast"/>
        </w:trPr>
        <w:tc>
          <w:tcPr>
            <w:tcW w:w="6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质量指标</w:t>
            </w:r>
          </w:p>
        </w:tc>
        <w:tc>
          <w:tcPr>
            <w:tcW w:w="270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案件办结率</w:t>
            </w:r>
          </w:p>
        </w:tc>
        <w:tc>
          <w:tcPr>
            <w:tcW w:w="12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逮捕案件：96.43%；起诉案件：87.19%</w:t>
            </w:r>
          </w:p>
        </w:tc>
        <w:tc>
          <w:tcPr>
            <w:tcW w:w="1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6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70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购置装备合格率</w:t>
            </w:r>
          </w:p>
        </w:tc>
        <w:tc>
          <w:tcPr>
            <w:tcW w:w="12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100%</w:t>
            </w:r>
          </w:p>
        </w:tc>
        <w:tc>
          <w:tcPr>
            <w:tcW w:w="1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6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时效指标</w:t>
            </w:r>
          </w:p>
        </w:tc>
        <w:tc>
          <w:tcPr>
            <w:tcW w:w="270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业务装备采购及时性</w:t>
            </w:r>
          </w:p>
        </w:tc>
        <w:tc>
          <w:tcPr>
            <w:tcW w:w="12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及时</w:t>
            </w:r>
          </w:p>
        </w:tc>
        <w:tc>
          <w:tcPr>
            <w:tcW w:w="1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6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70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资金下拨及时性</w:t>
            </w:r>
          </w:p>
        </w:tc>
        <w:tc>
          <w:tcPr>
            <w:tcW w:w="12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及时</w:t>
            </w:r>
          </w:p>
        </w:tc>
        <w:tc>
          <w:tcPr>
            <w:tcW w:w="1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6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70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购置装备到位率</w:t>
            </w:r>
          </w:p>
        </w:tc>
        <w:tc>
          <w:tcPr>
            <w:tcW w:w="12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100%</w:t>
            </w:r>
          </w:p>
        </w:tc>
        <w:tc>
          <w:tcPr>
            <w:tcW w:w="1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720" w:hRule="atLeast"/>
        </w:trPr>
        <w:tc>
          <w:tcPr>
            <w:tcW w:w="6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成本指标</w:t>
            </w:r>
          </w:p>
        </w:tc>
        <w:tc>
          <w:tcPr>
            <w:tcW w:w="270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财政拨款</w:t>
            </w:r>
          </w:p>
        </w:tc>
        <w:tc>
          <w:tcPr>
            <w:tcW w:w="12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2908354.8元</w:t>
            </w:r>
          </w:p>
        </w:tc>
        <w:tc>
          <w:tcPr>
            <w:tcW w:w="13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987812.8元</w:t>
            </w:r>
          </w:p>
        </w:tc>
        <w:tc>
          <w:tcPr>
            <w:tcW w:w="1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每年都是当年使用上年下拨款</w:t>
            </w:r>
          </w:p>
        </w:tc>
      </w:tr>
      <w:tr>
        <w:tblPrEx>
          <w:tblCellMar>
            <w:top w:w="0" w:type="dxa"/>
            <w:left w:w="108" w:type="dxa"/>
            <w:bottom w:w="0" w:type="dxa"/>
            <w:right w:w="108" w:type="dxa"/>
          </w:tblCellMar>
        </w:tblPrEx>
        <w:trPr>
          <w:trHeight w:val="240" w:hRule="atLeast"/>
        </w:trPr>
        <w:tc>
          <w:tcPr>
            <w:tcW w:w="6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7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社会效益</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270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化解社会矛盾，为经济社会发展提供良好环境</w:t>
            </w:r>
          </w:p>
        </w:tc>
        <w:tc>
          <w:tcPr>
            <w:tcW w:w="12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w:t>
            </w:r>
          </w:p>
        </w:tc>
        <w:tc>
          <w:tcPr>
            <w:tcW w:w="1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6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70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促进改善办案基础设施和办案条件</w:t>
            </w:r>
          </w:p>
        </w:tc>
        <w:tc>
          <w:tcPr>
            <w:tcW w:w="12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改善</w:t>
            </w:r>
          </w:p>
        </w:tc>
        <w:tc>
          <w:tcPr>
            <w:tcW w:w="1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6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可持续影响指标</w:t>
            </w:r>
          </w:p>
        </w:tc>
        <w:tc>
          <w:tcPr>
            <w:tcW w:w="270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对基层检察机关办案经费保障力度持续加强</w:t>
            </w:r>
          </w:p>
        </w:tc>
        <w:tc>
          <w:tcPr>
            <w:tcW w:w="12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加强</w:t>
            </w:r>
          </w:p>
        </w:tc>
        <w:tc>
          <w:tcPr>
            <w:tcW w:w="1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6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70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对基层检察机关业务装备经费保障力度持续加强</w:t>
            </w:r>
          </w:p>
        </w:tc>
        <w:tc>
          <w:tcPr>
            <w:tcW w:w="12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加强</w:t>
            </w:r>
          </w:p>
        </w:tc>
        <w:tc>
          <w:tcPr>
            <w:tcW w:w="1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6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满意度指标</w:t>
            </w:r>
          </w:p>
        </w:tc>
        <w:tc>
          <w:tcPr>
            <w:tcW w:w="87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服务对象</w:t>
            </w:r>
            <w:r>
              <w:rPr>
                <w:rFonts w:hint="eastAsia" w:ascii="宋体" w:hAnsi="宋体" w:cs="宋体"/>
                <w:kern w:val="0"/>
                <w:sz w:val="20"/>
                <w:szCs w:val="20"/>
              </w:rPr>
              <w:br w:type="textWrapping"/>
            </w:r>
            <w:r>
              <w:rPr>
                <w:rFonts w:hint="eastAsia" w:ascii="宋体" w:hAnsi="宋体" w:cs="宋体"/>
                <w:kern w:val="0"/>
                <w:sz w:val="20"/>
                <w:szCs w:val="20"/>
              </w:rPr>
              <w:t>满意度指标</w:t>
            </w:r>
          </w:p>
        </w:tc>
        <w:tc>
          <w:tcPr>
            <w:tcW w:w="270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社会公众满意度</w:t>
            </w:r>
          </w:p>
        </w:tc>
        <w:tc>
          <w:tcPr>
            <w:tcW w:w="12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满意</w:t>
            </w:r>
          </w:p>
        </w:tc>
        <w:tc>
          <w:tcPr>
            <w:tcW w:w="1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6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70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办案人员满意度</w:t>
            </w:r>
          </w:p>
        </w:tc>
        <w:tc>
          <w:tcPr>
            <w:tcW w:w="12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满意</w:t>
            </w:r>
          </w:p>
        </w:tc>
        <w:tc>
          <w:tcPr>
            <w:tcW w:w="1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bl>
    <w:p>
      <w:pPr>
        <w:spacing w:line="480" w:lineRule="auto"/>
        <w:ind w:firstLine="600" w:firstLineChars="200"/>
        <w:rPr>
          <w:rFonts w:asciiTheme="minorEastAsia" w:hAnsiTheme="minorEastAsia" w:eastAsiaTheme="minorEastAsia"/>
          <w:sz w:val="30"/>
          <w:szCs w:val="30"/>
        </w:rPr>
      </w:pPr>
    </w:p>
    <w:p>
      <w:pPr>
        <w:spacing w:line="480" w:lineRule="auto"/>
        <w:ind w:firstLine="723" w:firstLineChars="200"/>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重点项目支出绩效自评报告</w:t>
      </w:r>
    </w:p>
    <w:p>
      <w:pPr>
        <w:spacing w:line="480" w:lineRule="auto"/>
        <w:ind w:firstLine="723" w:firstLineChars="200"/>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（聘用制书记员经费）</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一、项目概况</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（一）项目基本情况。</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1．本单位对聘用制书记员负管理和考核责任。</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为贯彻落实《四川省各级法院、检察院聘用制书记员管理办法（试行）》（川高法[2018]2号）文件精神，推动司法责任制改革落地落实，扎实高效开展各项检察业务工作，我本单位按照高检院要求1:1配备聘用制书记员12名，按照市院书记员经费标准5.6万元/年/人在年初预算中申报。</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3．区财政以项目经费预算拨付12名书记员经费67.2万元，单位按照日常资金管理办法每月以支付工资、社保的方式进行转账入卡和支付。</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4．资金分配的原则及考虑因素：5.6万元/年/人，每人月工资3150元，单位部分社保1145.13元，年终考核奖3600元，结余的800多元作为福利费、服装、办公费等支付。</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（二）项目绩效目标。</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1．项目主要内容：聘用书记员12名，工资、社保、服装、绩效等按照每人每年56000元予以保障。</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项目应实现的具体绩效目标：聘用制书记员是做好员额检察官的助手，为扎实高效开展各项检察业务工作推行的办法，书记员人事管理由本院政治处负责，每年由院党组及对口部门对其进行考核，绩效根据考核情况发放，保障检察业务工作顺利开展。</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3．书记员经费据实申报，每年人均56000元的书记员经费，经院党组讨论决定，全部用于书记员的工资、社保和绩效考核，不挪为他用，保障书记员的工资待遇，留住人才，保证书记员的工作积极性。</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（三）项目自评步骤及方法。</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项目自评根据绩效自评表中总体目标、数量指标、质量指标、时效指标、时效指标、成本指标、效益指标、满意度指标等指标来衡量项目的完成程度。</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二、项目资金申报及使用情况</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（一）项目资金申报及批复情况。</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每年年初预算时聘用制书记员经费在预算中申报，财政上会后作为年初预算批复，罗列在项目明细中。</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（二）资金计划、到位及使用情况（可用表格形式反映）。</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1．资金计划。</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聘用制书记员经费由区财政保障，年初预算在“城乡社区支出-国有土地使用权出让收入安排的支出”反映。</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2．资金到位。</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区财政在年初预算 “城乡社区支出-国有土地使用权出让收入安排的支出”批复项目支出67.2万元，已全部到位，到位率100%。</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3．资金使用。</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1-5月聘用制书记员经费支出29.83万元，剩余指标在预算管理统一体化系统中，每月按社保中心提供的缴费金额支付社保，扣出个人应缴社保费发放工资，支付范围、标准、进度、依据均合规合法。</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（三）项目财务管理情况。</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本单位制定了《西区检察院财务管理制度》并严格执行，财务处理及时，会计核算合法合规。</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三、项目实施及管理情况</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结合项目组织实施管理办法，重点围绕以下内容进行分析评价，并对自评中发现的问题分析说明。</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（一）项目组织架构及实施流程。</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县级检察院在本院年度用人额度内，提出聘用书记员招聘计划，层报省检察院批准，招录工作由省检察院统一组织，各市检察院具体实施，面向社会发出公开招聘公告，经资格审核合格后予以报名、笔试、速录技能测试、面试、体检，合格者单位政治部进行考察、公示，无问题后于正式录用。</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（二）项目管理情况。</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本单位招聘的书记员都是按照公开、平等、竞争、择优的原则，由省级统一组织，面向社会公开招聘。</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（三）项目监管情况。</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本单位公开招聘的书记员实行先培训，再上岗制度，岗前培训由市级检察院组织实施，采取集中培训方式进行，培训期满进行考试或考核，不合规者不予聘用，并报省检察院备案；培训合规的书记员可签订固定期限劳动合同，明确双方权利义务关系，试用期满经用人单位考核合格者按期转正，并进行等级评定。</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对书记员的考核坚持客观工正、注重实绩原则，采取平时考核与年终考核相结合的方法，对完成工作的数量、质量、效率及德、能、勤、绩、廉等方面进行综合考核，并充分听取所在部门和所辅助检察官的意见，考核结果分优秀、称职、基本称职、不称职，考核结果作为聘用书记员工资薪酬、等级晋升、奖励激励、续订或解除劳动合同的主要依据。书记员连续两次年度考核为不称职，依法解除劳动合同。</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四、项目绩效情况</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（一）项目完成情况。</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2021年完成对12名聘用制书记员的考核，每月按时支付工资、社保，节假日发放慰问品，完成67.2万元经费支出。今年已支付1-5月工资、社保等费用，共计29.83万元，支付完成率44.39%，进度计划正常。</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（二）项目效益情况。</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聘用制书记员是员额检察官的助手，协助其扎实高效开展各项检察业务工作，妥善化解社会矛盾纠纷，切实维护社会和谐稳定；强化刑事立案侦查审判监督，刑事执行检察监督，民事检察监督，行政执行监督，推进公益诉讼工作切实维护社会公平正义。书记员管理由本院政治处负责，每年由院党组、员额检察官对其进行考核，绩效根据考核情况发放，21年书记员考核工作结束，员额检察官对书记员工作做出肯定。</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五、评价结论及建议</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（一）评价结论。</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2021年度单位整体办案数量、质量完成比较理想，21年书记员考核工作结束，员额检察官对书记员工作做出肯定。书记员经费使用率100%，目标绩效顺利完成。</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（二）存在的问题。</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书记员队伍人员年轻，很多人当书记员是临时性工作，人员流动快；晋升通道狭小，没有具体的晋升流程；没有相应的薪资增长制度。</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（三）相关建议。</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鉴于聘用制书记员流动性，需制定聘用制书记员递补管理办法，能迅速补齐人员到岗；结合地方财政财力，建立可行性的薪资增长制度。</w:t>
      </w:r>
    </w:p>
    <w:p>
      <w:pPr>
        <w:spacing w:line="480" w:lineRule="auto"/>
        <w:ind w:firstLine="600" w:firstLineChars="200"/>
        <w:rPr>
          <w:rFonts w:asciiTheme="minorEastAsia" w:hAnsiTheme="minorEastAsia" w:eastAsiaTheme="minorEastAsia"/>
          <w:sz w:val="30"/>
          <w:szCs w:val="30"/>
        </w:rPr>
      </w:pPr>
    </w:p>
    <w:p>
      <w:pPr>
        <w:spacing w:line="480" w:lineRule="auto"/>
        <w:ind w:firstLine="723" w:firstLineChars="200"/>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第五部分 附表</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一、收入支出决算总表</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二、收入决算表</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三、支出决算表</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四、财政拨款收入支出决算总表</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五、财政拨款支出决算明细表</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六、一般公共预算财政拨款支出决算表</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七、一般公共预算财政拨款支出决算明细表</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八、一般公共预算财政拨款基本支出决算表</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九、一般公共预算财政拨款项目支出决算表</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十、一般公共预算财政拨款“三公”经费支出决算表</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十一、政府性基金预算财政拨款收入支出决算表</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十二、政府性基金预算财政拨款“三公”经费支出决算表</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十三、国有资本经营预算财政拨款收入支出决算表</w:t>
      </w:r>
    </w:p>
    <w:p>
      <w:pPr>
        <w:spacing w:line="48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十四、国有资本经营预算财政拨款支出决算表</w:t>
      </w:r>
    </w:p>
    <w:sectPr>
      <w:footerReference r:id="rId3" w:type="default"/>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2794161"/>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08060F"/>
    <w:multiLevelType w:val="multilevel"/>
    <w:tmpl w:val="6E08060F"/>
    <w:lvl w:ilvl="0" w:tentative="0">
      <w:start w:val="1"/>
      <w:numFmt w:val="japaneseCounting"/>
      <w:lvlText w:val="%1、"/>
      <w:lvlJc w:val="left"/>
      <w:pPr>
        <w:ind w:left="1320" w:hanging="720"/>
      </w:pPr>
      <w:rPr>
        <w:rFonts w:hint="default"/>
      </w:rPr>
    </w:lvl>
    <w:lvl w:ilvl="1" w:tentative="0">
      <w:start w:val="1"/>
      <w:numFmt w:val="lowerLetter"/>
      <w:lvlText w:val="%2)"/>
      <w:lvlJc w:val="left"/>
      <w:pPr>
        <w:ind w:left="1480" w:hanging="440"/>
      </w:pPr>
    </w:lvl>
    <w:lvl w:ilvl="2" w:tentative="0">
      <w:start w:val="1"/>
      <w:numFmt w:val="lowerRoman"/>
      <w:lvlText w:val="%3."/>
      <w:lvlJc w:val="right"/>
      <w:pPr>
        <w:ind w:left="1920" w:hanging="440"/>
      </w:pPr>
    </w:lvl>
    <w:lvl w:ilvl="3" w:tentative="0">
      <w:start w:val="1"/>
      <w:numFmt w:val="decimal"/>
      <w:lvlText w:val="%4."/>
      <w:lvlJc w:val="left"/>
      <w:pPr>
        <w:ind w:left="2360" w:hanging="440"/>
      </w:pPr>
    </w:lvl>
    <w:lvl w:ilvl="4" w:tentative="0">
      <w:start w:val="1"/>
      <w:numFmt w:val="lowerLetter"/>
      <w:lvlText w:val="%5)"/>
      <w:lvlJc w:val="left"/>
      <w:pPr>
        <w:ind w:left="2800" w:hanging="440"/>
      </w:pPr>
    </w:lvl>
    <w:lvl w:ilvl="5" w:tentative="0">
      <w:start w:val="1"/>
      <w:numFmt w:val="lowerRoman"/>
      <w:lvlText w:val="%6."/>
      <w:lvlJc w:val="right"/>
      <w:pPr>
        <w:ind w:left="3240" w:hanging="440"/>
      </w:pPr>
    </w:lvl>
    <w:lvl w:ilvl="6" w:tentative="0">
      <w:start w:val="1"/>
      <w:numFmt w:val="decimal"/>
      <w:lvlText w:val="%7."/>
      <w:lvlJc w:val="left"/>
      <w:pPr>
        <w:ind w:left="3680" w:hanging="440"/>
      </w:pPr>
    </w:lvl>
    <w:lvl w:ilvl="7" w:tentative="0">
      <w:start w:val="1"/>
      <w:numFmt w:val="lowerLetter"/>
      <w:lvlText w:val="%8)"/>
      <w:lvlJc w:val="left"/>
      <w:pPr>
        <w:ind w:left="4120" w:hanging="440"/>
      </w:pPr>
    </w:lvl>
    <w:lvl w:ilvl="8" w:tentative="0">
      <w:start w:val="1"/>
      <w:numFmt w:val="lowerRoman"/>
      <w:lvlText w:val="%9."/>
      <w:lvlJc w:val="right"/>
      <w:pPr>
        <w:ind w:left="45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wNjk1ZDEzYWQ2MzkxYWI4OTY5MGUzMWE2M2YyYjUifQ=="/>
  </w:docVars>
  <w:rsids>
    <w:rsidRoot w:val="00D4103F"/>
    <w:rsid w:val="000D7825"/>
    <w:rsid w:val="000E5316"/>
    <w:rsid w:val="000F4152"/>
    <w:rsid w:val="00105057"/>
    <w:rsid w:val="00176FB4"/>
    <w:rsid w:val="00185565"/>
    <w:rsid w:val="001E4866"/>
    <w:rsid w:val="0034110D"/>
    <w:rsid w:val="00360030"/>
    <w:rsid w:val="00362812"/>
    <w:rsid w:val="00480A2B"/>
    <w:rsid w:val="00543A8C"/>
    <w:rsid w:val="00560D3D"/>
    <w:rsid w:val="005A1709"/>
    <w:rsid w:val="005D072B"/>
    <w:rsid w:val="007C7D95"/>
    <w:rsid w:val="00896B82"/>
    <w:rsid w:val="008B6124"/>
    <w:rsid w:val="0090285E"/>
    <w:rsid w:val="009D7443"/>
    <w:rsid w:val="00AC7FBB"/>
    <w:rsid w:val="00B742BE"/>
    <w:rsid w:val="00B9221F"/>
    <w:rsid w:val="00D4103F"/>
    <w:rsid w:val="00D5609F"/>
    <w:rsid w:val="00D76E29"/>
    <w:rsid w:val="00DE28DC"/>
    <w:rsid w:val="00EC5536"/>
    <w:rsid w:val="00F72619"/>
    <w:rsid w:val="59E96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link w:val="10"/>
    <w:semiHidden/>
    <w:unhideWhenUsed/>
    <w:qFormat/>
    <w:uiPriority w:val="99"/>
    <w:pPr>
      <w:spacing w:after="120"/>
    </w:pPr>
  </w:style>
  <w:style w:type="paragraph" w:styleId="3">
    <w:name w:val="Balloon Text"/>
    <w:basedOn w:val="1"/>
    <w:link w:val="11"/>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tabs>
        <w:tab w:val="center" w:pos="4153"/>
        <w:tab w:val="right" w:pos="8306"/>
      </w:tabs>
      <w:snapToGrid w:val="0"/>
      <w:jc w:val="center"/>
    </w:pPr>
    <w:rPr>
      <w:sz w:val="18"/>
      <w:szCs w:val="18"/>
    </w:rPr>
  </w:style>
  <w:style w:type="paragraph" w:styleId="6">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7">
    <w:name w:val="toc 2"/>
    <w:basedOn w:val="1"/>
    <w:next w:val="1"/>
    <w:unhideWhenUsed/>
    <w:qFormat/>
    <w:uiPriority w:val="39"/>
    <w:pPr>
      <w:tabs>
        <w:tab w:val="right" w:leader="dot" w:pos="8296"/>
      </w:tabs>
      <w:ind w:left="420" w:leftChars="200"/>
    </w:pPr>
  </w:style>
  <w:style w:type="character" w:customStyle="1" w:styleId="10">
    <w:name w:val="正文文本 字符"/>
    <w:basedOn w:val="9"/>
    <w:link w:val="2"/>
    <w:semiHidden/>
    <w:qFormat/>
    <w:uiPriority w:val="99"/>
    <w:rPr>
      <w:rFonts w:ascii="Times New Roman" w:hAnsi="Times New Roman" w:eastAsia="宋体" w:cs="Times New Roman"/>
      <w:szCs w:val="24"/>
    </w:rPr>
  </w:style>
  <w:style w:type="character" w:customStyle="1" w:styleId="11">
    <w:name w:val="批注框文本 字符"/>
    <w:basedOn w:val="9"/>
    <w:link w:val="3"/>
    <w:semiHidden/>
    <w:qFormat/>
    <w:uiPriority w:val="99"/>
    <w:rPr>
      <w:rFonts w:ascii="Times New Roman" w:hAnsi="Times New Roman" w:eastAsia="宋体" w:cs="Times New Roman"/>
      <w:sz w:val="18"/>
      <w:szCs w:val="18"/>
    </w:rPr>
  </w:style>
  <w:style w:type="character" w:customStyle="1" w:styleId="12">
    <w:name w:val="页眉 字符"/>
    <w:basedOn w:val="9"/>
    <w:link w:val="5"/>
    <w:qFormat/>
    <w:uiPriority w:val="99"/>
    <w:rPr>
      <w:rFonts w:ascii="Times New Roman" w:hAnsi="Times New Roman" w:eastAsia="宋体" w:cs="Times New Roman"/>
      <w:sz w:val="18"/>
      <w:szCs w:val="18"/>
    </w:rPr>
  </w:style>
  <w:style w:type="character" w:customStyle="1" w:styleId="13">
    <w:name w:val="页脚 字符"/>
    <w:basedOn w:val="9"/>
    <w:link w:val="4"/>
    <w:qFormat/>
    <w:uiPriority w:val="99"/>
    <w:rPr>
      <w:rFonts w:ascii="Times New Roman" w:hAnsi="Times New Roman" w:eastAsia="宋体" w:cs="Times New Roman"/>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hart" Target="charts/chart7.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收、支总计变动情况</c:v>
                </c:pt>
              </c:strCache>
            </c:strRef>
          </c:tx>
          <c:invertIfNegative val="0"/>
          <c:dLbls>
            <c:delete val="1"/>
          </c:dLbls>
          <c:cat>
            <c:numRef>
              <c:f>Sheet1!$A$2:$A$3</c:f>
              <c:numCache>
                <c:formatCode>General</c:formatCode>
                <c:ptCount val="2"/>
                <c:pt idx="0">
                  <c:v>2020</c:v>
                </c:pt>
                <c:pt idx="1">
                  <c:v>2021</c:v>
                </c:pt>
              </c:numCache>
            </c:numRef>
          </c:cat>
          <c:val>
            <c:numRef>
              <c:f>Sheet1!$B$2:$B$3</c:f>
              <c:numCache>
                <c:formatCode>General</c:formatCode>
                <c:ptCount val="2"/>
                <c:pt idx="0">
                  <c:v>1178.87</c:v>
                </c:pt>
                <c:pt idx="1">
                  <c:v>1187.36</c:v>
                </c:pt>
              </c:numCache>
            </c:numRef>
          </c:val>
        </c:ser>
        <c:dLbls>
          <c:showLegendKey val="0"/>
          <c:showVal val="0"/>
          <c:showCatName val="0"/>
          <c:showSerName val="0"/>
          <c:showPercent val="0"/>
          <c:showBubbleSize val="0"/>
        </c:dLbls>
        <c:gapWidth val="150"/>
        <c:axId val="114676480"/>
        <c:axId val="114683904"/>
      </c:barChart>
      <c:catAx>
        <c:axId val="114676480"/>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4683904"/>
        <c:crosses val="autoZero"/>
        <c:auto val="1"/>
        <c:lblAlgn val="ctr"/>
        <c:lblOffset val="100"/>
        <c:noMultiLvlLbl val="0"/>
      </c:catAx>
      <c:valAx>
        <c:axId val="11468390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467648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本年收入</c:v>
                </c:pt>
              </c:strCache>
            </c:strRef>
          </c:tx>
          <c:explosion val="0"/>
          <c:dPt>
            <c:idx val="0"/>
            <c:bubble3D val="0"/>
          </c:dPt>
          <c:dPt>
            <c:idx val="1"/>
            <c:bubble3D val="0"/>
          </c:dPt>
          <c:dPt>
            <c:idx val="2"/>
            <c:bubble3D val="0"/>
          </c:dPt>
          <c:dLbls>
            <c:delete val="1"/>
          </c:dLbls>
          <c:cat>
            <c:strRef>
              <c:f>Sheet1!$A$2:$A$4</c:f>
              <c:strCache>
                <c:ptCount val="3"/>
                <c:pt idx="0">
                  <c:v>一般公共预算财政拨款收入</c:v>
                </c:pt>
                <c:pt idx="1">
                  <c:v>政府性基金预算财政拨款收入</c:v>
                </c:pt>
                <c:pt idx="2">
                  <c:v>其他收入</c:v>
                </c:pt>
              </c:strCache>
            </c:strRef>
          </c:cat>
          <c:val>
            <c:numRef>
              <c:f>Sheet1!$B$2:$B$4</c:f>
              <c:numCache>
                <c:formatCode>General</c:formatCode>
                <c:ptCount val="3"/>
                <c:pt idx="0">
                  <c:v>970.97</c:v>
                </c:pt>
                <c:pt idx="1">
                  <c:v>92.1</c:v>
                </c:pt>
                <c:pt idx="2">
                  <c:v>0.01</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本年支出</c:v>
                </c:pt>
              </c:strCache>
            </c:strRef>
          </c:tx>
          <c:explosion val="0"/>
          <c:dPt>
            <c:idx val="0"/>
            <c:bubble3D val="0"/>
          </c:dPt>
          <c:dPt>
            <c:idx val="1"/>
            <c:bubble3D val="0"/>
          </c:dPt>
          <c:dLbls>
            <c:delete val="1"/>
          </c:dLbls>
          <c:cat>
            <c:strRef>
              <c:f>Sheet1!$A$2:$A$3</c:f>
              <c:strCache>
                <c:ptCount val="2"/>
                <c:pt idx="0">
                  <c:v>基本支出</c:v>
                </c:pt>
                <c:pt idx="1">
                  <c:v>项目支出</c:v>
                </c:pt>
              </c:strCache>
            </c:strRef>
          </c:cat>
          <c:val>
            <c:numRef>
              <c:f>Sheet1!$B$2:$B$3</c:f>
              <c:numCache>
                <c:formatCode>General</c:formatCode>
                <c:ptCount val="2"/>
                <c:pt idx="0">
                  <c:v>968.25</c:v>
                </c:pt>
                <c:pt idx="1">
                  <c:v>219.11</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财政拨款收、支总计变动</c:v>
                </c:pt>
              </c:strCache>
            </c:strRef>
          </c:tx>
          <c:invertIfNegative val="0"/>
          <c:dLbls>
            <c:delete val="1"/>
          </c:dLbls>
          <c:cat>
            <c:numRef>
              <c:f>Sheet1!$A$2:$A$5</c:f>
              <c:numCache>
                <c:formatCode>General</c:formatCode>
                <c:ptCount val="4"/>
                <c:pt idx="0">
                  <c:v>2020</c:v>
                </c:pt>
                <c:pt idx="1">
                  <c:v>2021</c:v>
                </c:pt>
              </c:numCache>
            </c:numRef>
          </c:cat>
          <c:val>
            <c:numRef>
              <c:f>Sheet1!$B$2:$B$5</c:f>
              <c:numCache>
                <c:formatCode>General</c:formatCode>
                <c:ptCount val="4"/>
                <c:pt idx="0">
                  <c:v>1178.87</c:v>
                </c:pt>
                <c:pt idx="1">
                  <c:v>1186.3</c:v>
                </c:pt>
              </c:numCache>
            </c:numRef>
          </c:val>
        </c:ser>
        <c:dLbls>
          <c:showLegendKey val="0"/>
          <c:showVal val="0"/>
          <c:showCatName val="0"/>
          <c:showSerName val="0"/>
          <c:showPercent val="0"/>
          <c:showBubbleSize val="0"/>
        </c:dLbls>
        <c:gapWidth val="150"/>
        <c:axId val="151025536"/>
        <c:axId val="169257600"/>
      </c:barChart>
      <c:catAx>
        <c:axId val="151025536"/>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9257600"/>
        <c:crosses val="autoZero"/>
        <c:auto val="1"/>
        <c:lblAlgn val="ctr"/>
        <c:lblOffset val="100"/>
        <c:noMultiLvlLbl val="0"/>
      </c:catAx>
      <c:valAx>
        <c:axId val="16925760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5102553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一般公共预算财政拨款支出</c:v>
                </c:pt>
              </c:strCache>
            </c:strRef>
          </c:tx>
          <c:invertIfNegative val="0"/>
          <c:dLbls>
            <c:delete val="1"/>
          </c:dLbls>
          <c:cat>
            <c:numRef>
              <c:f>Sheet1!$A$2:$A$3</c:f>
              <c:numCache>
                <c:formatCode>General</c:formatCode>
                <c:ptCount val="2"/>
                <c:pt idx="0">
                  <c:v>2021</c:v>
                </c:pt>
                <c:pt idx="1">
                  <c:v>2022</c:v>
                </c:pt>
              </c:numCache>
            </c:numRef>
          </c:cat>
          <c:val>
            <c:numRef>
              <c:f>Sheet1!$B$2:$B$3</c:f>
              <c:numCache>
                <c:formatCode>General</c:formatCode>
                <c:ptCount val="2"/>
                <c:pt idx="0">
                  <c:v>1149.37</c:v>
                </c:pt>
                <c:pt idx="1">
                  <c:v>1094.2</c:v>
                </c:pt>
              </c:numCache>
            </c:numRef>
          </c:val>
        </c:ser>
        <c:dLbls>
          <c:showLegendKey val="0"/>
          <c:showVal val="0"/>
          <c:showCatName val="0"/>
          <c:showSerName val="0"/>
          <c:showPercent val="0"/>
          <c:showBubbleSize val="0"/>
        </c:dLbls>
        <c:gapWidth val="150"/>
        <c:axId val="204627328"/>
        <c:axId val="204649600"/>
      </c:barChart>
      <c:catAx>
        <c:axId val="204627328"/>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4649600"/>
        <c:crosses val="autoZero"/>
        <c:auto val="1"/>
        <c:lblAlgn val="ctr"/>
        <c:lblOffset val="100"/>
        <c:noMultiLvlLbl val="0"/>
      </c:catAx>
      <c:valAx>
        <c:axId val="20464960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462732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c:v>
                </c:pt>
              </c:strCache>
            </c:strRef>
          </c:tx>
          <c:explosion val="0"/>
          <c:dPt>
            <c:idx val="0"/>
            <c:bubble3D val="0"/>
          </c:dPt>
          <c:dPt>
            <c:idx val="1"/>
            <c:bubble3D val="0"/>
          </c:dPt>
          <c:dPt>
            <c:idx val="2"/>
            <c:bubble3D val="0"/>
          </c:dPt>
          <c:dPt>
            <c:idx val="3"/>
            <c:bubble3D val="0"/>
          </c:dPt>
          <c:dLbls>
            <c:delete val="1"/>
          </c:dLbls>
          <c:cat>
            <c:strRef>
              <c:f>Sheet1!$A$2:$A$5</c:f>
              <c:strCache>
                <c:ptCount val="4"/>
                <c:pt idx="0">
                  <c:v>公共安全支出</c:v>
                </c:pt>
                <c:pt idx="1">
                  <c:v>社会保障和就业支出</c:v>
                </c:pt>
                <c:pt idx="2">
                  <c:v>医疗卫生支出</c:v>
                </c:pt>
                <c:pt idx="3">
                  <c:v>住房保障支出</c:v>
                </c:pt>
              </c:strCache>
            </c:strRef>
          </c:cat>
          <c:val>
            <c:numRef>
              <c:f>Sheet1!$B$2:$B$5</c:f>
              <c:numCache>
                <c:formatCode>General</c:formatCode>
                <c:ptCount val="4"/>
                <c:pt idx="0">
                  <c:v>886.3</c:v>
                </c:pt>
                <c:pt idx="1">
                  <c:v>72.5</c:v>
                </c:pt>
                <c:pt idx="2">
                  <c:v>54.45</c:v>
                </c:pt>
                <c:pt idx="3">
                  <c:v>80.95</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c:v>
                </c:pt>
              </c:strCache>
            </c:strRef>
          </c:tx>
          <c:explosion val="0"/>
          <c:dPt>
            <c:idx val="0"/>
            <c:bubble3D val="0"/>
          </c:dPt>
          <c:dPt>
            <c:idx val="1"/>
            <c:bubble3D val="0"/>
          </c:dPt>
          <c:dLbls>
            <c:delete val="1"/>
          </c:dLbls>
          <c:cat>
            <c:strRef>
              <c:f>Sheet1!$A$2:$A$3</c:f>
              <c:strCache>
                <c:ptCount val="2"/>
                <c:pt idx="0">
                  <c:v>公车运行费</c:v>
                </c:pt>
                <c:pt idx="1">
                  <c:v>接待费</c:v>
                </c:pt>
              </c:strCache>
            </c:strRef>
          </c:cat>
          <c:val>
            <c:numRef>
              <c:f>Sheet1!$B$2:$B$3</c:f>
              <c:numCache>
                <c:formatCode>General</c:formatCode>
                <c:ptCount val="2"/>
                <c:pt idx="0">
                  <c:v>4.23</c:v>
                </c:pt>
                <c:pt idx="1">
                  <c:v>0</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41</Pages>
  <Words>17834</Words>
  <Characters>19750</Characters>
  <Lines>154</Lines>
  <Paragraphs>43</Paragraphs>
  <TotalTime>192</TotalTime>
  <ScaleCrop>false</ScaleCrop>
  <LinksUpToDate>false</LinksUpToDate>
  <CharactersWithSpaces>20197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2023-07-20T03:55:00Z</dcterms:created>
  <dc:creator>微软用户</dc:creator>
  <cp:lastModifiedBy>Administrator</cp:lastModifiedBy>
  <dcterms:modified xsi:type="dcterms:W3CDTF">2023-07-21T01:46:49Z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21A5DF64C0CC49358A9E22667BFDF164_12</vt:lpwstr>
  </property>
</Properties>
</file>