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09E96">
      <w:pPr>
        <w:spacing w:line="540" w:lineRule="exact"/>
        <w:jc w:val="center"/>
        <w:rPr>
          <w:rFonts w:ascii="方正小标宋_GBK" w:hAnsi="宋体" w:eastAsia="方正小标宋_GBK"/>
          <w:b/>
          <w:bCs/>
          <w:sz w:val="38"/>
          <w:szCs w:val="38"/>
        </w:rPr>
      </w:pPr>
      <w:r>
        <w:rPr>
          <w:rFonts w:hint="eastAsia" w:ascii="方正小标宋_GBK" w:hAnsi="宋体" w:eastAsia="方正小标宋_GBK"/>
          <w:b/>
          <w:bCs/>
          <w:sz w:val="38"/>
          <w:szCs w:val="38"/>
        </w:rPr>
        <w:t>攀枝花市西区人民检察院工作报告</w:t>
      </w:r>
    </w:p>
    <w:p w14:paraId="2ED0597F">
      <w:pPr>
        <w:spacing w:line="540" w:lineRule="exact"/>
        <w:jc w:val="center"/>
        <w:rPr>
          <w:rFonts w:eastAsia="方正仿宋简体"/>
          <w:sz w:val="33"/>
          <w:szCs w:val="33"/>
        </w:rPr>
      </w:pPr>
    </w:p>
    <w:p w14:paraId="69C29A5C">
      <w:pPr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各位代表：</w:t>
      </w:r>
    </w:p>
    <w:p w14:paraId="081AAB6E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现在，我代表西区人民检察院，向大会报告工作，请予审查，并请列席会议的同志提出意见。</w:t>
      </w:r>
    </w:p>
    <w:p w14:paraId="00D2854A">
      <w:pPr>
        <w:jc w:val="center"/>
        <w:rPr>
          <w:rFonts w:eastAsia="方正黑体_GBK"/>
          <w:b/>
          <w:sz w:val="33"/>
          <w:szCs w:val="33"/>
        </w:rPr>
      </w:pPr>
      <w:r>
        <w:rPr>
          <w:rFonts w:eastAsia="方正黑体_GBK"/>
          <w:b/>
          <w:sz w:val="33"/>
          <w:szCs w:val="33"/>
        </w:rPr>
        <w:t>202</w:t>
      </w:r>
      <w:r>
        <w:rPr>
          <w:rFonts w:hint="eastAsia" w:eastAsia="方正黑体_GBK"/>
          <w:b/>
          <w:sz w:val="33"/>
          <w:szCs w:val="33"/>
        </w:rPr>
        <w:t>1</w:t>
      </w:r>
      <w:r>
        <w:rPr>
          <w:rFonts w:ascii="方正黑体_GBK" w:eastAsia="方正黑体_GBK"/>
          <w:b/>
          <w:sz w:val="33"/>
          <w:szCs w:val="33"/>
        </w:rPr>
        <w:t>年主要工作</w:t>
      </w:r>
    </w:p>
    <w:p w14:paraId="3AF2F220">
      <w:pPr>
        <w:ind w:firstLine="660" w:firstLineChars="200"/>
        <w:jc w:val="left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2021年，区人民检察院在区委和市检察院的坚强领导下，在区人大及其常委会的法律监督和工作监督、区政府的大力支持、区政协的民主监督和人民群众的社会监督下，坚定以习近平新时代中国特色社会主义思想为指导，紧紧围绕区委决策部署，坚持为大局服务、为人民司法，忠实履行法律监督职责，各项工作稳中有进。</w:t>
      </w:r>
    </w:p>
    <w:p w14:paraId="2ED041BD">
      <w:pPr>
        <w:ind w:firstLine="660" w:firstLineChars="200"/>
        <w:rPr>
          <w:rFonts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一、维护安全稳定，在助推市域治理中展现检察担当</w:t>
      </w:r>
    </w:p>
    <w:p w14:paraId="5C1E35BA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维护国家安全和社会稳定</w:t>
      </w:r>
      <w:r>
        <w:rPr>
          <w:rFonts w:hint="eastAsia" w:ascii="方正仿宋_GBK" w:eastAsia="方正仿宋_GBK"/>
          <w:sz w:val="33"/>
          <w:szCs w:val="33"/>
        </w:rPr>
        <w:t>。深入践行总体国家安全观，办理组织、利用邪教组织破坏法律实施犯罪案件1件3人。依法严惩妨害国境管理犯罪行为，办理偷越国境和组织、运送他人偷越国境等案件30件49 人，依法维护国家安全、边境安宁。常态化开展扫黑除恶斗争，依法办理涉重点行业领域整治刑事案件。依法不批捕31人，不起诉33人。办理适用被告人认罪认罚从宽制度案件162件210人，采纳率97.37 %，修复社会关系，促进社会和谐。</w:t>
      </w:r>
    </w:p>
    <w:p w14:paraId="1661A0B2">
      <w:pPr>
        <w:ind w:firstLine="583" w:firstLineChars="200"/>
        <w:jc w:val="left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积极参与平安西区建设。</w:t>
      </w:r>
      <w:r>
        <w:rPr>
          <w:rFonts w:hint="eastAsia" w:ascii="方正仿宋_GBK" w:eastAsia="方正仿宋_GBK"/>
          <w:sz w:val="33"/>
          <w:szCs w:val="33"/>
        </w:rPr>
        <w:t>依法履行批捕起诉职能，受理提请批准逮捕案件105件141人，批准逮捕93件109人；受理移送审查起诉案件219件309人，提起公诉163件223人。严厉打击严重暴力犯罪，提前介入1起辖区影响较大的故意杀人案，公诉涉枪涉爆案件3件4人、放火案件2件2人，建议行政机关移送重大责任事故案件1件。增强打击整治“黄赌毒”违法犯罪威慑力，依法办理开设赌场、贩卖毒品、容留卖淫等案件32件47人。严厉惩治“两抢一盗”等多发性侵财案件，批准逮捕盗窃案件22件28人，提起公诉 30件42人，维护人民群众财产安全。</w:t>
      </w:r>
    </w:p>
    <w:p w14:paraId="70203E26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加强生态环境资源保护。</w:t>
      </w:r>
      <w:r>
        <w:rPr>
          <w:rFonts w:hint="eastAsia" w:ascii="方正仿宋_GBK" w:eastAsia="方正仿宋_GBK"/>
          <w:sz w:val="33"/>
          <w:szCs w:val="33"/>
        </w:rPr>
        <w:t>依法打击破坏生态环境犯罪，办理危害国家重点保护植物案件3件3人，非法捕捞、非法狩猎案件2件3人。办理生态环境和资源保护领域公益诉讼案件21件。坚决防治环境污染，针对医疗废弃物存储不当、扬尘污染、建筑垃圾等问题，向主管行政部门提出检察建议，督促其依法履行职责。筑牢长江上游沿岸生态屏障，联合相关部门开展生活污水直排金沙江等环境专项检查，联合西区河长制办公室印发《西区非法采砂及河道堆积弃渣专项整治方案》，发出检察建议6件，促进公益保护、社会治理、依法行政有机统一。</w:t>
      </w:r>
    </w:p>
    <w:p w14:paraId="173CCBD5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积极参与社会综合治理。</w:t>
      </w:r>
      <w:r>
        <w:rPr>
          <w:rFonts w:hint="eastAsia" w:ascii="方正仿宋_GBK" w:eastAsia="方正仿宋_GBK"/>
          <w:sz w:val="33"/>
          <w:szCs w:val="33"/>
        </w:rPr>
        <w:t>发挥检察建议规范引领作用，发出检察建议75件，同比上升17 %。针对食品从业人员未办理健康证、路边摊贩未办理登记卡、电商平台公示证照不全不清晰、“僵尸车”等问题，制发检察建议督促履职，努力实现“办理一案、治理一片”的良好效果。深化业务态势分析研判，形成《检察机关促进社会治理体系法治化研究》和《近五年来危险驾驶案件业务态势分析报告》等调研报告，助力推进社会风险防控。强化以案释法工作，开展“法律七进”等普法宣传50余次，及时回应群众关切、传递检察声音、促进法治理念提升。</w:t>
      </w:r>
    </w:p>
    <w:p w14:paraId="59FF38C7">
      <w:pPr>
        <w:ind w:firstLine="660" w:firstLineChars="200"/>
        <w:rPr>
          <w:rFonts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二、强化能动履职，在服务发展大局中强化检察责任</w:t>
      </w:r>
    </w:p>
    <w:p w14:paraId="29B563BC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护航经济金融健康发展。</w:t>
      </w:r>
      <w:r>
        <w:rPr>
          <w:rFonts w:hint="eastAsia" w:ascii="方正仿宋_GBK" w:eastAsia="方正仿宋_GBK"/>
          <w:sz w:val="33"/>
          <w:szCs w:val="33"/>
        </w:rPr>
        <w:t>持续优化法治营商环境，与区工商联、经信局协调联系，举办检察开放日活动、召开民营企业家座谈会，听取检察服务企业的意见建议。全力维护市场经济金融秩序，办理帮助信息网络犯罪活动、妨害信用卡管理等各类经济犯罪案件92件124人</w:t>
      </w:r>
      <w:r>
        <w:rPr>
          <w:rFonts w:ascii="方正仿宋_GBK" w:eastAsia="方正仿宋_GBK"/>
          <w:sz w:val="33"/>
          <w:szCs w:val="33"/>
        </w:rPr>
        <w:t>。</w:t>
      </w:r>
      <w:r>
        <w:rPr>
          <w:rFonts w:hint="eastAsia" w:ascii="方正仿宋_GBK" w:eastAsia="方正仿宋_GBK"/>
          <w:sz w:val="33"/>
          <w:szCs w:val="33"/>
        </w:rPr>
        <w:t>办理故意制造车辆事故实施保险诈骗案件5件 8人，</w:t>
      </w:r>
      <w:bookmarkStart w:id="0" w:name="_GoBack"/>
      <w:bookmarkEnd w:id="0"/>
      <w:r>
        <w:rPr>
          <w:rFonts w:hint="eastAsia" w:ascii="方正仿宋_GBK" w:eastAsia="方正仿宋_GBK"/>
          <w:sz w:val="33"/>
          <w:szCs w:val="33"/>
        </w:rPr>
        <w:t>涉案金额20余万元。平等保护民营企业，办理侵犯民营企业合法权益案件3件8人。针对</w:t>
      </w:r>
      <w:r>
        <w:rPr>
          <w:rFonts w:ascii="方正仿宋_GBK" w:eastAsia="方正仿宋_GBK"/>
          <w:sz w:val="33"/>
          <w:szCs w:val="33"/>
        </w:rPr>
        <w:t>企业风险防控、管理机制等，</w:t>
      </w:r>
      <w:r>
        <w:rPr>
          <w:rFonts w:hint="eastAsia" w:ascii="方正仿宋_GBK" w:eastAsia="方正仿宋_GBK"/>
          <w:sz w:val="33"/>
          <w:szCs w:val="33"/>
        </w:rPr>
        <w:t>提出检察建议4件。</w:t>
      </w:r>
    </w:p>
    <w:p w14:paraId="2CC301D1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持续推进反腐败斗争。</w:t>
      </w:r>
      <w:r>
        <w:rPr>
          <w:rFonts w:hint="eastAsia" w:ascii="方正仿宋_GBK" w:eastAsia="方正仿宋_GBK"/>
          <w:sz w:val="33"/>
          <w:szCs w:val="33"/>
        </w:rPr>
        <w:t>依法严惩职务犯罪，办理职务犯罪案件7件9人。加强与监察机关配合协作，完善工作机制，提前介入5件重大职务犯罪案件调查。为提升职务犯罪办案质效，增强警示教育实效，对易某侵吞城乡居民养老保险待转金贪污案，邀请人民监督员、人大代表、政协委员参加案件公开听证；对何某某非国家工作人员受贿案开展庭审观摩，取得良好的社会效果。营造廉洁政务环境，向发案单位制发检察建议2件，助推堵塞监管漏洞，预防职务犯罪，</w:t>
      </w:r>
      <w:r>
        <w:rPr>
          <w:rFonts w:ascii="方正仿宋_GBK" w:eastAsia="方正仿宋_GBK"/>
          <w:sz w:val="33"/>
          <w:szCs w:val="33"/>
        </w:rPr>
        <w:t>依法保障民营经济健康发展</w:t>
      </w:r>
      <w:r>
        <w:rPr>
          <w:rFonts w:hint="eastAsia" w:ascii="方正仿宋_GBK" w:eastAsia="方正仿宋_GBK"/>
          <w:sz w:val="33"/>
          <w:szCs w:val="33"/>
        </w:rPr>
        <w:t xml:space="preserve">。       </w:t>
      </w:r>
    </w:p>
    <w:p w14:paraId="2C34B77C">
      <w:pPr>
        <w:ind w:firstLine="583" w:firstLineChars="200"/>
        <w:rPr>
          <w:rFonts w:ascii="方正仿宋_GBK" w:eastAsia="方正仿宋_GBK"/>
          <w:color w:val="000000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常态化推进依法战“疫”。</w:t>
      </w:r>
      <w:r>
        <w:rPr>
          <w:rFonts w:hint="eastAsia" w:ascii="方正仿宋_GBK" w:eastAsia="方正仿宋_GBK"/>
          <w:color w:val="000000"/>
          <w:sz w:val="33"/>
          <w:szCs w:val="33"/>
        </w:rPr>
        <w:t>全院干警参与一线联防联控、宣传防疫知识、疫苗接种志愿服务100余人次。制定疫情防控期间接待群众和律师的措施，为来访人员提供电话、网络等非接触式服务。开通“西检云课堂”，采取云直播方式为全区师生讲解与防疫相关的法律知识。依法从严从快打击涉“疫”犯罪，公诉涉“疫”案件1件1人。</w:t>
      </w:r>
    </w:p>
    <w:p w14:paraId="38D27D2F">
      <w:pPr>
        <w:ind w:firstLine="660" w:firstLineChars="200"/>
        <w:rPr>
          <w:rFonts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 xml:space="preserve">三、坚持人民至上，在践行司法为民中坚守检察初心 </w:t>
      </w:r>
    </w:p>
    <w:p w14:paraId="1FF7DE64">
      <w:pPr>
        <w:ind w:firstLine="583" w:firstLineChars="200"/>
        <w:rPr>
          <w:rFonts w:ascii="方正仿宋_GBK" w:eastAsia="方正仿宋_GBK"/>
          <w:color w:val="000000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精化细化检察为民措施。</w:t>
      </w:r>
      <w:r>
        <w:rPr>
          <w:rFonts w:hint="eastAsia" w:ascii="方正仿宋_GBK" w:eastAsia="方正仿宋_GBK"/>
          <w:color w:val="000000"/>
          <w:sz w:val="33"/>
          <w:szCs w:val="33"/>
        </w:rPr>
        <w:t>聚焦人民群众“急难愁盼”问题，制定“我为群众办实事”实践活动方案，以“开门纳谏”等形式收集到检察工作意见建议20余条，为民办实事30余件。用心用情办好群众身边的“小案”，</w:t>
      </w:r>
      <w:r>
        <w:rPr>
          <w:rFonts w:hint="eastAsia" w:ascii="方正仿宋_GBK" w:eastAsia="方正仿宋_GBK"/>
          <w:sz w:val="33"/>
          <w:szCs w:val="33"/>
        </w:rPr>
        <w:t>推进落实“四号检察建议”，</w:t>
      </w:r>
      <w:r>
        <w:rPr>
          <w:rFonts w:hint="eastAsia" w:ascii="方正仿宋_GBK" w:eastAsia="方正仿宋_GBK"/>
          <w:color w:val="000000"/>
          <w:sz w:val="33"/>
          <w:szCs w:val="33"/>
        </w:rPr>
        <w:t>联合相关职能部门开展窨井盖安全隐患专项整治行动，全力守护群众“脚底下的安全”。</w:t>
      </w:r>
    </w:p>
    <w:p w14:paraId="7DBC548E">
      <w:pPr>
        <w:ind w:firstLine="583" w:firstLineChars="200"/>
        <w:rPr>
          <w:rFonts w:ascii="方正仿宋_GBK" w:eastAsia="方正仿宋_GBK"/>
          <w:color w:val="000000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悉心呵护未成人健康成长。</w:t>
      </w:r>
      <w:r>
        <w:rPr>
          <w:rFonts w:hint="eastAsia" w:ascii="方正仿宋_GBK" w:eastAsia="方正仿宋_GBK"/>
          <w:color w:val="000000"/>
          <w:sz w:val="33"/>
          <w:szCs w:val="33"/>
        </w:rPr>
        <w:t>严惩性侵、暴力伤害未成年人等恶性犯罪，起诉侵害未成人犯罪案件4件5人。办理全省首例利用社交网络强制猥亵未成年人的新型性侵犯罪案件。对一起监护人性侵未成年人的案件提出从重量刑建议，维护未成年合法权益。坚持惩治、教育、帮扶并举，办理未成年人犯罪案件5件7人，提起公诉6人；对犯罪行为较轻有悔罪表现的未成年人，附条件不起诉2人；</w:t>
      </w:r>
      <w:r>
        <w:rPr>
          <w:rFonts w:hint="eastAsia" w:ascii="方正仿宋_GBK" w:eastAsia="方正仿宋_GBK"/>
          <w:sz w:val="33"/>
          <w:szCs w:val="33"/>
        </w:rPr>
        <w:t>开展心理辅导等多元化救助8 人次，开展“法治进校园”、家长法制和监护责任教育17场次。</w:t>
      </w:r>
      <w:r>
        <w:rPr>
          <w:rFonts w:hint="eastAsia" w:ascii="方正仿宋_GBK" w:eastAsia="方正仿宋_GBK"/>
          <w:color w:val="000000"/>
          <w:sz w:val="33"/>
          <w:szCs w:val="33"/>
        </w:rPr>
        <w:t>对一起遗弃案开展调查监督，督促解决被遗弃人的抚养、入学问题。未检工作获区领导批示肯定。</w:t>
      </w:r>
    </w:p>
    <w:p w14:paraId="13B20BB5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加强矛盾纠纷多元化解。</w:t>
      </w:r>
      <w:r>
        <w:rPr>
          <w:rFonts w:hint="eastAsia" w:ascii="方正仿宋_GBK" w:eastAsia="方正仿宋_GBK"/>
          <w:sz w:val="33"/>
          <w:szCs w:val="33"/>
        </w:rPr>
        <w:t>完善检调对接、首问首办责任、刑事被害人救助等工作机制，强化信访息诉工作。发挥12309检察服务中心“一站式”服务作用，开展检察长接待、律师参与化解涉法涉诉信访案件等工作。落实最高检“群众信访件件有回复”要求，受理信访案件32件。推进“治重化积”专项工作，办结中央信联办和省信联办交办的重复信访案件5件。全力做好建党100周年安保维稳工作。</w:t>
      </w:r>
    </w:p>
    <w:p w14:paraId="4883040F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聚焦特殊群体传递司法温情。</w:t>
      </w:r>
      <w:r>
        <w:rPr>
          <w:rFonts w:hint="eastAsia" w:ascii="方正仿宋_GBK" w:eastAsia="方正仿宋_GBK"/>
          <w:sz w:val="33"/>
          <w:szCs w:val="33"/>
        </w:rPr>
        <w:t>依法办理支持起诉赡养纠纷案，帮助高龄老人申请法律援助，保护老年人合法权益。加强与法院、人社等相关单位沟通协调，建立常态化联系机制，确保农民工工资及时发放。支持起诉追索劳动报酬纠纷案12件，涉及拖欠农民工工资金额17万余元。办理国家司法救助案件5件，向9名刑事被害人及亲属发放司法救助金8万元，彰显司法温度。</w:t>
      </w:r>
    </w:p>
    <w:p w14:paraId="0B58E42C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四、聚焦主责主业，在维护公平正义中加强检察监督</w:t>
      </w:r>
    </w:p>
    <w:p w14:paraId="1F673C7A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持续强化刑事检察。</w:t>
      </w:r>
      <w:r>
        <w:rPr>
          <w:rFonts w:hint="eastAsia" w:ascii="方正仿宋_GBK" w:eastAsia="方正仿宋_GBK"/>
          <w:sz w:val="33"/>
          <w:szCs w:val="33"/>
        </w:rPr>
        <w:t>加强立案、侦查活动监督，监督立案9件，监督撤案 2 件，提出书面纠正违法15件次，提前介入重大案件 44 件。强化刑事审判监督，提出抗诉 1件。加强刑事执行监督，深化社区矫正巡回检察，开展“减假暂”专项检查，监督纠正暂予监外执行案件21件21人，社区矫正人员140人次。</w:t>
      </w:r>
    </w:p>
    <w:p w14:paraId="0AAC8BBA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精准开展民事检察。</w:t>
      </w:r>
      <w:r>
        <w:rPr>
          <w:rFonts w:hint="eastAsia" w:ascii="方正仿宋_GBK" w:eastAsia="方正仿宋_GBK"/>
          <w:sz w:val="33"/>
          <w:szCs w:val="33"/>
        </w:rPr>
        <w:t>加大对民事审判和执行活动的监督，办理民事审判程序监督12件，民事执行活动监督19件，民事生效裁判监督案件审结数占受理数的100%。加强虚假诉讼监督，会同有关单位制定实施意见，规范线索收集和案件办理。政法队伍教育整顿期间，开展民事行政审判、执行活动大检查，排查案件45件。</w:t>
      </w:r>
    </w:p>
    <w:p w14:paraId="5982B5D3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全面深化行政检察。</w:t>
      </w:r>
      <w:r>
        <w:rPr>
          <w:rFonts w:hint="eastAsia" w:ascii="方正仿宋_GBK" w:eastAsia="方正仿宋_GBK"/>
          <w:sz w:val="33"/>
          <w:szCs w:val="33"/>
        </w:rPr>
        <w:t>加强精准化行政监督，办理行政非诉执行监督案件7件，发出检察建议7 件，均被采纳。与相关部门建立协作机制，办理展实质性化解行政争议案件，实现案结事了政和。与西区自然资源和规划分局召开“土地类行政处罚非诉案件”研讨会2次，合力破解土地类行政处罚决定申请强制执行难问题。</w:t>
      </w:r>
    </w:p>
    <w:p w14:paraId="43DEAE81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更实做好公益诉讼检察。</w:t>
      </w:r>
      <w:r>
        <w:rPr>
          <w:rFonts w:hint="eastAsia" w:ascii="方正仿宋_GBK" w:eastAsia="方正仿宋_GBK"/>
          <w:sz w:val="33"/>
          <w:szCs w:val="33"/>
        </w:rPr>
        <w:t>强化保护公共利益，公益诉讼立案46件。守护食药品安全，开展“公益诉讼守护美好生活”专项行动和“中药材计量器”专项检查，办理食药品安全领域公益诉讼案件20件。针对火锅店使用“回收油”、在羊肉米线中添加罂粟壳等违法行为，提起刑事附带民事公益诉讼。聚力守好青山绿水，排查生态环境资源等问题线索23件，发出检察建议21件。开展污水排放、汽车维修店废弃机油处置等专项检查6次。对一起危害国家重点保护植物案件单独提起民事公益诉讼</w:t>
      </w:r>
      <w:r>
        <w:rPr>
          <w:rFonts w:hint="eastAsia" w:ascii="方正仿宋_GBK" w:eastAsia="方正仿宋_GBK"/>
        </w:rPr>
        <w:t>，持续发力维护生态环境。</w:t>
      </w:r>
    </w:p>
    <w:p w14:paraId="5E85538B">
      <w:pPr>
        <w:ind w:firstLine="660" w:firstLineChars="200"/>
        <w:rPr>
          <w:rFonts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五、加强队伍建设，在全面从严治检中提升履职能力</w:t>
      </w:r>
    </w:p>
    <w:p w14:paraId="50C5DE10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筑牢政治忠诚。</w:t>
      </w:r>
      <w:r>
        <w:rPr>
          <w:rFonts w:hint="eastAsia" w:ascii="方正仿宋_GBK" w:eastAsia="方正仿宋_GBK"/>
          <w:sz w:val="33"/>
          <w:szCs w:val="33"/>
        </w:rPr>
        <w:t>认真贯彻《中国共产党政法工作条例》，始终坚持党对检察工作的绝对领导。组织开展习近平法治思想专题学习培训活动150余人次，教育引导干警坚定不移走中国特色社会主义法治道路。抓好抓深党史学习教育，认真学习宣传贯彻党的十九届六中全会精神，组织宣讲、学习、讲党课30余次。</w:t>
      </w:r>
    </w:p>
    <w:p w14:paraId="1115ECE4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提升业务素能。</w:t>
      </w:r>
      <w:r>
        <w:rPr>
          <w:rFonts w:hint="eastAsia" w:ascii="方正仿宋_GBK" w:eastAsia="方正仿宋_GBK"/>
          <w:sz w:val="33"/>
          <w:szCs w:val="33"/>
        </w:rPr>
        <w:t>聚焦办案能力短板，组织检察业务培训200余人次，检察官参加业务轮训12人次。全面落实司法责任制，落实检察官动态调整工作机制，制定完善员额检察官绩效考评机制。入额领导干部作为主办或独任检察官办案306件。检察长列席审委会7次。积极培育先进典型，2个集体和4人次获得市级表彰，2个集体和1人获得省部级以上荣誉。</w:t>
      </w:r>
    </w:p>
    <w:p w14:paraId="4944552E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从严管党治检。</w:t>
      </w:r>
      <w:r>
        <w:rPr>
          <w:rFonts w:hint="eastAsia" w:ascii="方正仿宋_GBK" w:eastAsia="方正仿宋_GBK"/>
          <w:sz w:val="33"/>
          <w:szCs w:val="33"/>
        </w:rPr>
        <w:t>认真开展政法队伍教育整顿，组织专题研讨和警示教育，严格落实防止干预司法“三个规定”，记录报告重大事项23件。排查出“落实三个规定不力”“办案办事效率不高”等问题54个，建立健全制度机制14项。出台检察官任职回避、办案廉政风险防控等规定，扎紧检察权运行的制度“笼子”。</w:t>
      </w:r>
    </w:p>
    <w:p w14:paraId="04889E0D">
      <w:pPr>
        <w:ind w:firstLine="583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楷体_GBK" w:eastAsia="方正楷体_GBK"/>
          <w:b/>
          <w:bCs/>
          <w:color w:val="000000"/>
          <w:spacing w:val="-20"/>
          <w:sz w:val="33"/>
          <w:szCs w:val="33"/>
        </w:rPr>
        <w:t>强化监督制约。</w:t>
      </w:r>
      <w:r>
        <w:rPr>
          <w:rFonts w:hint="eastAsia" w:ascii="方正仿宋_GBK" w:eastAsia="方正仿宋_GBK"/>
          <w:sz w:val="33"/>
          <w:szCs w:val="33"/>
        </w:rPr>
        <w:t>主动接受人大监督、政协民主监督，向人大及其常委会专题汇报工作、向政协通报工作，邀请代表委员参加检察开放日、公开听证等活动20余次。自觉接受社会各界监督，邀请人民监督员、各界群众观摩、评议司法活动8次；组织开展案件公开听证7件。深化检务公开，公开案件信息285条，法律文书170份。</w:t>
      </w:r>
    </w:p>
    <w:p w14:paraId="1F9D730A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各位代表，过去一年我院取得的成绩是区委和上级检察院的坚强领导、区人大及其常委会有力监督、区政府大力支持、区政协民主监督以及社会各界关注支持帮助的结果。在此，我谨代表西区人民检察院表示衷心感谢！与此同时，检察工作仍存在一些不容忽视的问题：一是党的建设统领业务建设的作用有待强化；二是检察履职能力与全区高质量发展需求的适配性有待增强；三是法律监督工作仍需固强补弱，法律监督质效有待提升；四是检察队伍和基础建设能力有待提高。对此我们将认真研究，着力加以解决。</w:t>
      </w:r>
    </w:p>
    <w:p w14:paraId="61C2600A">
      <w:pPr>
        <w:jc w:val="center"/>
        <w:rPr>
          <w:rFonts w:eastAsia="方正黑体_GBK"/>
          <w:b/>
          <w:sz w:val="33"/>
          <w:szCs w:val="33"/>
        </w:rPr>
      </w:pPr>
      <w:r>
        <w:rPr>
          <w:rFonts w:eastAsia="方正黑体_GBK"/>
          <w:b/>
          <w:sz w:val="33"/>
          <w:szCs w:val="33"/>
        </w:rPr>
        <w:t>20</w:t>
      </w:r>
      <w:r>
        <w:rPr>
          <w:rFonts w:hint="eastAsia" w:eastAsia="方正黑体_GBK"/>
          <w:b/>
          <w:sz w:val="33"/>
          <w:szCs w:val="33"/>
        </w:rPr>
        <w:t>22</w:t>
      </w:r>
      <w:r>
        <w:rPr>
          <w:rFonts w:ascii="方正黑体_GBK" w:eastAsia="方正黑体_GBK"/>
          <w:b/>
          <w:sz w:val="33"/>
          <w:szCs w:val="33"/>
        </w:rPr>
        <w:t>年工作安排</w:t>
      </w:r>
    </w:p>
    <w:p w14:paraId="4FA5B282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 xml:space="preserve">各位代表，2022年，我院检察工作的总体思路是：坚持以“两个确立”统一思想，坚决做到“两个维护”，以为党的二十大、省第十二次党代会召开创造安全稳定的政治环境为主线，聚焦市委“一三三三”总体发展战略和区委“一区一城”战略目标，强化法律监督，为西区经济社会发展提供坚实的司法保障。 </w:t>
      </w:r>
    </w:p>
    <w:p w14:paraId="0F90F88F">
      <w:pPr>
        <w:ind w:firstLine="660" w:firstLineChars="200"/>
        <w:rPr>
          <w:rFonts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一、强化政治自觉，以强烈的责任担当护航发展大局</w:t>
      </w:r>
    </w:p>
    <w:p w14:paraId="7440CD1C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巩固党史学习教育成果，组织开展学习研讨党的十九届六中全会精神，融合把握党的百年奋斗历史经验与司法工作规律，切实增强“四个意识”、坚定“四个自信”、做到“两个维护”。持续深入开展习近平法治思想学习宣传研讨实践活动，围绕“六个提升、六项变革 ”重点任务、“项目攻坚突破年”，找准检察服务工作大局的切入点与着力点，提升法律监督工作水平。</w:t>
      </w:r>
    </w:p>
    <w:p w14:paraId="37754138">
      <w:pPr>
        <w:ind w:firstLine="660" w:firstLineChars="200"/>
        <w:rPr>
          <w:rFonts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二、践行为民初心，以优质的检察产品增进民生福祉</w:t>
      </w:r>
    </w:p>
    <w:p w14:paraId="2F3B90EC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维护国家安全和社会大局稳定，常态化开展扫黑除恶斗争，全力为党的二十大、省第十二次党代会召开营造安全稳定环境。结合乡村振兴与生态文明建设、弱势群体保护、民生社会事业发展等，细化落实服务保障措施。统筹抓好服务民营企业发展、知识产权保护、食品药品安全保障、群众信访化解等任务落实，办好检察为民实事。</w:t>
      </w:r>
    </w:p>
    <w:p w14:paraId="69993D27">
      <w:pPr>
        <w:ind w:firstLine="660" w:firstLineChars="200"/>
        <w:rPr>
          <w:rFonts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三、坚持能动司法，以严格的法律监督维护公平正义</w:t>
      </w:r>
    </w:p>
    <w:p w14:paraId="6CEE5EBB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抓好《中共中央关于加强新时代法律监督工作意见》，全面履行“四大检察”职能，不断提升法律监督质量和效果。加强刑事立案、侦查活动和审判活动监督，完善刑事执行监督。强化民事、行政检察监督，进一步完善检察监督机制建设。加大公益诉讼办案力度。完善检察机关内部监督制约格局，强化对执法司法活动的监督。</w:t>
      </w:r>
    </w:p>
    <w:p w14:paraId="2FACBF62">
      <w:pPr>
        <w:ind w:firstLine="825" w:firstLineChars="250"/>
        <w:rPr>
          <w:rFonts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四、夯实检察根基，以过硬的自身建设积淀发展底蕴</w:t>
      </w:r>
    </w:p>
    <w:p w14:paraId="0E202A0A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巩固政法队伍教育整顿成果，扎实开展“质量建设年”活动，推动解决专业人才、履职素能、职业保障方面的短板难题。持续推进司法责任制综合配套改革，完善检察官单独职务序列管理。加强检察机关党风廉政建设，从严从实加强检察队伍建设，突出抓好领导干部和办案环节监督制约，营造风清气正良好政治生态环境。</w:t>
      </w:r>
    </w:p>
    <w:p w14:paraId="238BA8B9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各位代表，2022年，是党的二十大和省第十二次党代会召开之年，也是实施“十四五”规划的关键之年。我院将在区委和上级检察机关的坚强领导下，坚决落实党中央决策部署、省市区委工作要求，赓续红色血脉，汲取智慧力量，为市委“一三三三”总体发展战略和区委“一区一城”战略目标提供更加坚强法治保障，以实际行动迎接党的二十大、省第十二次党代会胜利召开！</w:t>
      </w:r>
    </w:p>
    <w:p w14:paraId="7A442CF4">
      <w:pPr>
        <w:ind w:firstLine="660" w:firstLineChars="200"/>
        <w:jc w:val="center"/>
        <w:rPr>
          <w:rFonts w:ascii="方正黑体_GBK" w:eastAsia="方正黑体_GBK"/>
          <w:sz w:val="33"/>
          <w:szCs w:val="33"/>
        </w:rPr>
      </w:pPr>
    </w:p>
    <w:p w14:paraId="147EEB40">
      <w:pPr>
        <w:ind w:firstLine="660" w:firstLineChars="200"/>
        <w:jc w:val="center"/>
        <w:rPr>
          <w:rFonts w:ascii="方正黑体_GBK" w:eastAsia="方正黑体_GBK"/>
          <w:sz w:val="33"/>
          <w:szCs w:val="33"/>
        </w:rPr>
      </w:pPr>
    </w:p>
    <w:p w14:paraId="4792474B">
      <w:pPr>
        <w:ind w:firstLine="660" w:firstLineChars="200"/>
        <w:jc w:val="center"/>
        <w:rPr>
          <w:rFonts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《攀枝花市西区人民检察院工作报告》</w:t>
      </w:r>
    </w:p>
    <w:p w14:paraId="0B4F8C8F">
      <w:pPr>
        <w:ind w:firstLine="660" w:firstLineChars="200"/>
        <w:jc w:val="center"/>
        <w:rPr>
          <w:rFonts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相关专业用语说明</w:t>
      </w:r>
    </w:p>
    <w:p w14:paraId="0926439C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1.检察建议：</w:t>
      </w:r>
      <w:r>
        <w:rPr>
          <w:rFonts w:hint="eastAsia" w:ascii="方正仿宋_GBK" w:eastAsia="方正仿宋_GBK"/>
          <w:sz w:val="33"/>
          <w:szCs w:val="33"/>
        </w:rPr>
        <w:t>人民检察院为促进法律正确实施、促进社会和谐稳定，在履行法律监督职能过程中，结合执法办案，建议有关单位完善制度，加强内部制约、监督，正确实施法律法规，完善社会管理、服务，预防和减少违法犯罪的一种重要方式。</w:t>
      </w:r>
    </w:p>
    <w:p w14:paraId="55D49BCA">
      <w:pPr>
        <w:ind w:firstLine="660" w:firstLineChars="200"/>
        <w:rPr>
          <w:rFonts w:ascii="方正仿宋_GBK" w:eastAsia="方正仿宋_GBK"/>
          <w:spacing w:val="-8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2.支持起诉：</w:t>
      </w:r>
      <w:r>
        <w:rPr>
          <w:rFonts w:hint="eastAsia" w:ascii="方正仿宋_GBK" w:eastAsia="方正仿宋_GBK"/>
          <w:sz w:val="33"/>
          <w:szCs w:val="33"/>
        </w:rPr>
        <w:t>人民检察院对损害国家、社会公共利益或者个人民事权益的行为，支</w:t>
      </w:r>
      <w:r>
        <w:rPr>
          <w:rFonts w:hint="eastAsia" w:ascii="方正仿宋_GBK" w:eastAsia="方正仿宋_GBK"/>
          <w:spacing w:val="-8"/>
          <w:sz w:val="33"/>
          <w:szCs w:val="33"/>
        </w:rPr>
        <w:t>持受损单位或者个人向人民法院起诉的活动。</w:t>
      </w:r>
    </w:p>
    <w:p w14:paraId="4E24206D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3.司法救助：</w:t>
      </w:r>
      <w:r>
        <w:rPr>
          <w:rFonts w:hint="eastAsia" w:ascii="方正仿宋_GBK" w:eastAsia="方正仿宋_GBK"/>
          <w:sz w:val="33"/>
          <w:szCs w:val="33"/>
        </w:rPr>
        <w:t>人民检察院在办理案件过程中，对遭受犯罪侵害或者民事侵权，无法通过诉讼获得有效赔偿，生活面临急迫困难的当事人采取的辅助性救济措施。</w:t>
      </w:r>
    </w:p>
    <w:p w14:paraId="13CB218E">
      <w:pPr>
        <w:ind w:firstLine="660" w:firstLineChars="200"/>
        <w:rPr>
          <w:rFonts w:ascii="方正仿宋_GBK" w:eastAsia="方正仿宋_GBK"/>
          <w:spacing w:val="-14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4.认罪认罚从宽：</w:t>
      </w:r>
      <w:r>
        <w:rPr>
          <w:rFonts w:hint="eastAsia" w:ascii="方正仿宋_GBK" w:eastAsia="方正仿宋_GBK"/>
          <w:sz w:val="33"/>
          <w:szCs w:val="33"/>
        </w:rPr>
        <w:t>是修改后刑事诉讼法确立的一项重要制度，适用于侦查、起诉、审判全过程。司法机关应当区别认罪认罚的不同诉讼阶段、对查明案件事实的价值、罪行严重程度等，综合考量从宽的限度和幅度，对认罪认罚的犯罪嫌疑人、被告人依法给予程序上从简或者实体上从宽的处理。对准确及时惩罚犯罪、强化人权司法保障、推动刑事案件繁简分流、节约司法资源、化解社会矛盾、推动国家治理体系和治理能力现代化，</w:t>
      </w:r>
      <w:r>
        <w:rPr>
          <w:rFonts w:hint="eastAsia" w:ascii="方正仿宋_GBK" w:eastAsia="方正仿宋_GBK"/>
          <w:spacing w:val="-14"/>
          <w:sz w:val="33"/>
          <w:szCs w:val="33"/>
        </w:rPr>
        <w:t>具有重要意义。</w:t>
      </w:r>
    </w:p>
    <w:p w14:paraId="1DC4847C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5. “四大检察”“十大业务”：</w:t>
      </w:r>
      <w:r>
        <w:rPr>
          <w:rFonts w:hint="eastAsia" w:ascii="方正仿宋_GBK" w:eastAsia="方正仿宋_GBK"/>
          <w:sz w:val="33"/>
          <w:szCs w:val="33"/>
        </w:rPr>
        <w:t>刑事检察、民事检察、行政检察、公益诉讼检察；普通刑事犯罪检察业务、重大刑事犯罪检察业务、职务犯罪检察业务、经济金融犯罪检察业务、刑事执行和司法人员职务犯罪检察业务、民事检察业务、行政检察业务、公益诉讼检察业务、未成年人检察业务、控告申诉检察业务。</w:t>
      </w:r>
    </w:p>
    <w:p w14:paraId="5631AAC9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6.能动司法：</w:t>
      </w:r>
      <w:r>
        <w:rPr>
          <w:rFonts w:ascii="方正仿宋_GBK" w:eastAsia="方正仿宋_GBK"/>
          <w:sz w:val="33"/>
          <w:szCs w:val="33"/>
        </w:rPr>
        <w:t>亦称</w:t>
      </w:r>
      <w:r>
        <w:rPr>
          <w:rFonts w:hint="eastAsia" w:ascii="方正仿宋_GBK" w:eastAsia="方正仿宋_GBK"/>
          <w:sz w:val="33"/>
          <w:szCs w:val="33"/>
        </w:rPr>
        <w:t>“</w:t>
      </w:r>
      <w:r>
        <w:rPr>
          <w:rFonts w:ascii="方正仿宋_GBK" w:eastAsia="方正仿宋_GBK"/>
          <w:sz w:val="33"/>
          <w:szCs w:val="33"/>
        </w:rPr>
        <w:t>积极司法</w:t>
      </w:r>
      <w:r>
        <w:rPr>
          <w:rFonts w:hint="eastAsia" w:ascii="方正仿宋_GBK" w:eastAsia="方正仿宋_GBK"/>
          <w:sz w:val="33"/>
          <w:szCs w:val="33"/>
        </w:rPr>
        <w:t>”</w:t>
      </w:r>
      <w:r>
        <w:rPr>
          <w:rFonts w:ascii="方正仿宋_GBK" w:eastAsia="方正仿宋_GBK"/>
          <w:sz w:val="33"/>
          <w:szCs w:val="33"/>
        </w:rPr>
        <w:t>。</w:t>
      </w:r>
      <w:r>
        <w:rPr>
          <w:rFonts w:hint="eastAsia" w:ascii="方正仿宋_GBK" w:eastAsia="方正仿宋_GBK"/>
          <w:sz w:val="33"/>
          <w:szCs w:val="33"/>
        </w:rPr>
        <w:t>“</w:t>
      </w:r>
      <w:r>
        <w:rPr>
          <w:rFonts w:ascii="方正仿宋_GBK" w:eastAsia="方正仿宋_GBK"/>
          <w:sz w:val="33"/>
          <w:szCs w:val="33"/>
        </w:rPr>
        <w:t>司法克制</w:t>
      </w:r>
      <w:r>
        <w:rPr>
          <w:rFonts w:hint="eastAsia" w:ascii="方正仿宋_GBK" w:eastAsia="方正仿宋_GBK"/>
          <w:sz w:val="33"/>
          <w:szCs w:val="33"/>
        </w:rPr>
        <w:t>”</w:t>
      </w:r>
      <w:r>
        <w:rPr>
          <w:rFonts w:ascii="方正仿宋_GBK" w:eastAsia="方正仿宋_GBK"/>
          <w:sz w:val="33"/>
          <w:szCs w:val="33"/>
        </w:rPr>
        <w:t>的对称。司法机关应当避免机械司法，不得拘泥于法律条文的限定，应以解决问题、化解社会矛盾为宗旨来灵活地运用法律</w:t>
      </w:r>
      <w:r>
        <w:rPr>
          <w:rFonts w:hint="eastAsia" w:ascii="方正仿宋_GBK" w:eastAsia="方正仿宋_GBK"/>
          <w:sz w:val="33"/>
          <w:szCs w:val="33"/>
        </w:rPr>
        <w:t>。</w:t>
      </w:r>
    </w:p>
    <w:p w14:paraId="5C38E267">
      <w:pPr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7.“四号检察建议”：</w:t>
      </w:r>
      <w:r>
        <w:rPr>
          <w:rFonts w:hint="eastAsia" w:ascii="方正仿宋_GBK" w:eastAsia="方正仿宋_GBK"/>
          <w:sz w:val="33"/>
          <w:szCs w:val="33"/>
        </w:rPr>
        <w:t>为了推动有关部门重视窨井盖安全问题，消除公共安全隐患，2020年4月8日，最高人民检察院向住房和城乡建设部发出了《中华人民共和国最高人民检察院检察建议书》（高检建〔2020〕4号），编号为4号，故称为</w:t>
      </w:r>
      <w:r>
        <w:rPr>
          <w:rFonts w:hint="eastAsia" w:eastAsia="方正仿宋_GBK"/>
          <w:sz w:val="33"/>
          <w:szCs w:val="33"/>
        </w:rPr>
        <w:t>“</w:t>
      </w:r>
      <w:r>
        <w:rPr>
          <w:rFonts w:hint="eastAsia" w:ascii="方正仿宋_GBK" w:eastAsia="方正仿宋_GBK"/>
          <w:sz w:val="33"/>
          <w:szCs w:val="33"/>
        </w:rPr>
        <w:t>四号检察建议</w:t>
      </w:r>
      <w:r>
        <w:rPr>
          <w:rFonts w:hint="eastAsia" w:eastAsia="方正仿宋_GBK"/>
          <w:sz w:val="33"/>
          <w:szCs w:val="33"/>
        </w:rPr>
        <w:t>”</w:t>
      </w:r>
      <w:r>
        <w:rPr>
          <w:rFonts w:hint="eastAsia" w:ascii="方正仿宋_GBK" w:eastAsia="方正仿宋_GBK"/>
          <w:sz w:val="33"/>
          <w:szCs w:val="33"/>
        </w:rPr>
        <w:t>。该检察建议书指出当前窨井施工、管理、养护方面存在的问题，并从重视窨井盖管理工作、进一步压实安全责任、推动管理创新、提升社会参与度等方面提出具体意见建议。</w:t>
      </w:r>
    </w:p>
    <w:p w14:paraId="366217AC">
      <w:pPr>
        <w:rPr>
          <w:rFonts w:ascii="方正仿宋_GBK" w:eastAsia="方正仿宋_GBK"/>
          <w:sz w:val="33"/>
          <w:szCs w:val="33"/>
        </w:rPr>
      </w:pPr>
    </w:p>
    <w:p w14:paraId="61EAA68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1A4525-6B94-46CC-9BA6-060BC7749F0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26FF561-FB9E-43B2-9A29-C1B74B68303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36BD5D0-333B-413D-B593-8F75893FE920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E0E79352-0A11-49F5-BE70-14718E4E19A8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7C7AF156-FEB6-47F1-B966-A6F2022204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58922"/>
      <w:docPartObj>
        <w:docPartGallery w:val="AutoText"/>
      </w:docPartObj>
    </w:sdtPr>
    <w:sdtContent>
      <w:p w14:paraId="3E8A460E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5CAE570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86D"/>
    <w:rsid w:val="00010440"/>
    <w:rsid w:val="00011CFB"/>
    <w:rsid w:val="0001254F"/>
    <w:rsid w:val="00013562"/>
    <w:rsid w:val="0001464E"/>
    <w:rsid w:val="00030A3A"/>
    <w:rsid w:val="00032EA9"/>
    <w:rsid w:val="000400A7"/>
    <w:rsid w:val="000550DF"/>
    <w:rsid w:val="00066477"/>
    <w:rsid w:val="00075765"/>
    <w:rsid w:val="000903DB"/>
    <w:rsid w:val="0009135E"/>
    <w:rsid w:val="000A7CA9"/>
    <w:rsid w:val="000B1964"/>
    <w:rsid w:val="000B20EF"/>
    <w:rsid w:val="000B2D95"/>
    <w:rsid w:val="000C2EE1"/>
    <w:rsid w:val="000D2C07"/>
    <w:rsid w:val="000E0475"/>
    <w:rsid w:val="000E0DD9"/>
    <w:rsid w:val="000E15AC"/>
    <w:rsid w:val="000E6F28"/>
    <w:rsid w:val="000F34C0"/>
    <w:rsid w:val="00106634"/>
    <w:rsid w:val="00107839"/>
    <w:rsid w:val="001151F3"/>
    <w:rsid w:val="00135FCC"/>
    <w:rsid w:val="00146C20"/>
    <w:rsid w:val="0017404F"/>
    <w:rsid w:val="001830C9"/>
    <w:rsid w:val="001955A4"/>
    <w:rsid w:val="001957AA"/>
    <w:rsid w:val="001A1B84"/>
    <w:rsid w:val="001A2A12"/>
    <w:rsid w:val="001B7E5E"/>
    <w:rsid w:val="001D1A25"/>
    <w:rsid w:val="001E2367"/>
    <w:rsid w:val="001E319C"/>
    <w:rsid w:val="001F7534"/>
    <w:rsid w:val="00212AF6"/>
    <w:rsid w:val="00233A29"/>
    <w:rsid w:val="00237CD7"/>
    <w:rsid w:val="002452DC"/>
    <w:rsid w:val="0026732E"/>
    <w:rsid w:val="00284A2C"/>
    <w:rsid w:val="002A39A6"/>
    <w:rsid w:val="002A40D0"/>
    <w:rsid w:val="002A7D4D"/>
    <w:rsid w:val="002B02AB"/>
    <w:rsid w:val="002B0552"/>
    <w:rsid w:val="002C6EB5"/>
    <w:rsid w:val="002E1D1D"/>
    <w:rsid w:val="002F1510"/>
    <w:rsid w:val="002F47AA"/>
    <w:rsid w:val="00303975"/>
    <w:rsid w:val="00322276"/>
    <w:rsid w:val="00341519"/>
    <w:rsid w:val="00343A11"/>
    <w:rsid w:val="00380CCE"/>
    <w:rsid w:val="003845DB"/>
    <w:rsid w:val="003869A0"/>
    <w:rsid w:val="00392BE7"/>
    <w:rsid w:val="00397414"/>
    <w:rsid w:val="003D697B"/>
    <w:rsid w:val="003D7C3E"/>
    <w:rsid w:val="003E65F4"/>
    <w:rsid w:val="003E79E2"/>
    <w:rsid w:val="003F4110"/>
    <w:rsid w:val="004003E6"/>
    <w:rsid w:val="004007C5"/>
    <w:rsid w:val="00401403"/>
    <w:rsid w:val="00407080"/>
    <w:rsid w:val="00412A92"/>
    <w:rsid w:val="00442474"/>
    <w:rsid w:val="0046542D"/>
    <w:rsid w:val="004862D0"/>
    <w:rsid w:val="00493DBC"/>
    <w:rsid w:val="0049645D"/>
    <w:rsid w:val="00497194"/>
    <w:rsid w:val="004A6EA7"/>
    <w:rsid w:val="004A764A"/>
    <w:rsid w:val="004B167B"/>
    <w:rsid w:val="004C30E6"/>
    <w:rsid w:val="004D2C76"/>
    <w:rsid w:val="004E2CED"/>
    <w:rsid w:val="004E40CC"/>
    <w:rsid w:val="004F4F02"/>
    <w:rsid w:val="004F66F8"/>
    <w:rsid w:val="00507728"/>
    <w:rsid w:val="0051523A"/>
    <w:rsid w:val="005159E2"/>
    <w:rsid w:val="00536CE2"/>
    <w:rsid w:val="005707E4"/>
    <w:rsid w:val="005738CB"/>
    <w:rsid w:val="00574535"/>
    <w:rsid w:val="00575CE1"/>
    <w:rsid w:val="00581E53"/>
    <w:rsid w:val="00583142"/>
    <w:rsid w:val="005854F3"/>
    <w:rsid w:val="005917AE"/>
    <w:rsid w:val="005A4AB7"/>
    <w:rsid w:val="005A5780"/>
    <w:rsid w:val="005B4ACA"/>
    <w:rsid w:val="005B6A6B"/>
    <w:rsid w:val="005C5F06"/>
    <w:rsid w:val="005D3E9F"/>
    <w:rsid w:val="005D79D1"/>
    <w:rsid w:val="005E3465"/>
    <w:rsid w:val="005F7F8B"/>
    <w:rsid w:val="00600F64"/>
    <w:rsid w:val="0060624F"/>
    <w:rsid w:val="0061119A"/>
    <w:rsid w:val="006407AD"/>
    <w:rsid w:val="00666C90"/>
    <w:rsid w:val="00666E9A"/>
    <w:rsid w:val="0067503C"/>
    <w:rsid w:val="00684BFC"/>
    <w:rsid w:val="0068592C"/>
    <w:rsid w:val="00686896"/>
    <w:rsid w:val="006A6693"/>
    <w:rsid w:val="006A7AB0"/>
    <w:rsid w:val="006B1369"/>
    <w:rsid w:val="006E2D80"/>
    <w:rsid w:val="006F336B"/>
    <w:rsid w:val="00700A9B"/>
    <w:rsid w:val="00700BA3"/>
    <w:rsid w:val="0070102F"/>
    <w:rsid w:val="00711065"/>
    <w:rsid w:val="007125BE"/>
    <w:rsid w:val="00731C50"/>
    <w:rsid w:val="00737653"/>
    <w:rsid w:val="00741045"/>
    <w:rsid w:val="00744847"/>
    <w:rsid w:val="00753813"/>
    <w:rsid w:val="00757C5E"/>
    <w:rsid w:val="00765005"/>
    <w:rsid w:val="00773E58"/>
    <w:rsid w:val="00787EF8"/>
    <w:rsid w:val="007A506E"/>
    <w:rsid w:val="007C27F8"/>
    <w:rsid w:val="007C3D76"/>
    <w:rsid w:val="007D15D0"/>
    <w:rsid w:val="007E0639"/>
    <w:rsid w:val="007E089F"/>
    <w:rsid w:val="007E2861"/>
    <w:rsid w:val="008007B8"/>
    <w:rsid w:val="00803C9A"/>
    <w:rsid w:val="00806F98"/>
    <w:rsid w:val="0081301B"/>
    <w:rsid w:val="00815BDB"/>
    <w:rsid w:val="00824262"/>
    <w:rsid w:val="0083220D"/>
    <w:rsid w:val="00836141"/>
    <w:rsid w:val="00855DEE"/>
    <w:rsid w:val="0085704C"/>
    <w:rsid w:val="00872056"/>
    <w:rsid w:val="00874CCA"/>
    <w:rsid w:val="00881B6A"/>
    <w:rsid w:val="00893D31"/>
    <w:rsid w:val="00893D8C"/>
    <w:rsid w:val="008A6E29"/>
    <w:rsid w:val="008A7CC5"/>
    <w:rsid w:val="008B2E6B"/>
    <w:rsid w:val="008C581B"/>
    <w:rsid w:val="008D06F8"/>
    <w:rsid w:val="00901EC2"/>
    <w:rsid w:val="0090348F"/>
    <w:rsid w:val="0091730A"/>
    <w:rsid w:val="009239A4"/>
    <w:rsid w:val="00933C02"/>
    <w:rsid w:val="009438C2"/>
    <w:rsid w:val="0095499D"/>
    <w:rsid w:val="009557AD"/>
    <w:rsid w:val="009712A6"/>
    <w:rsid w:val="00974FEB"/>
    <w:rsid w:val="009808E5"/>
    <w:rsid w:val="0099424A"/>
    <w:rsid w:val="00994AA3"/>
    <w:rsid w:val="00997DAC"/>
    <w:rsid w:val="009B41DA"/>
    <w:rsid w:val="009B6402"/>
    <w:rsid w:val="009B780D"/>
    <w:rsid w:val="009C6925"/>
    <w:rsid w:val="009D30F8"/>
    <w:rsid w:val="009E5FC4"/>
    <w:rsid w:val="009F3944"/>
    <w:rsid w:val="009F640D"/>
    <w:rsid w:val="009F6D8D"/>
    <w:rsid w:val="009F6DA0"/>
    <w:rsid w:val="00A032C5"/>
    <w:rsid w:val="00A0392B"/>
    <w:rsid w:val="00A164B6"/>
    <w:rsid w:val="00A22D66"/>
    <w:rsid w:val="00A338EB"/>
    <w:rsid w:val="00A453B2"/>
    <w:rsid w:val="00A576B2"/>
    <w:rsid w:val="00A6665C"/>
    <w:rsid w:val="00A666E5"/>
    <w:rsid w:val="00A72E05"/>
    <w:rsid w:val="00A76D68"/>
    <w:rsid w:val="00A86FFD"/>
    <w:rsid w:val="00A92194"/>
    <w:rsid w:val="00AA023A"/>
    <w:rsid w:val="00AA30AB"/>
    <w:rsid w:val="00AA6FC0"/>
    <w:rsid w:val="00AB33B5"/>
    <w:rsid w:val="00AC2092"/>
    <w:rsid w:val="00AC5D72"/>
    <w:rsid w:val="00AD1294"/>
    <w:rsid w:val="00AD13BF"/>
    <w:rsid w:val="00AE2A4C"/>
    <w:rsid w:val="00B12D28"/>
    <w:rsid w:val="00B25AD9"/>
    <w:rsid w:val="00B302D8"/>
    <w:rsid w:val="00B5180D"/>
    <w:rsid w:val="00B60ECD"/>
    <w:rsid w:val="00B802CE"/>
    <w:rsid w:val="00B84509"/>
    <w:rsid w:val="00BA7F4D"/>
    <w:rsid w:val="00BC5CF5"/>
    <w:rsid w:val="00BC74F0"/>
    <w:rsid w:val="00BD10E7"/>
    <w:rsid w:val="00BE087C"/>
    <w:rsid w:val="00BE1998"/>
    <w:rsid w:val="00BF6841"/>
    <w:rsid w:val="00C166C1"/>
    <w:rsid w:val="00C22DFC"/>
    <w:rsid w:val="00C23299"/>
    <w:rsid w:val="00C316C7"/>
    <w:rsid w:val="00C65D4E"/>
    <w:rsid w:val="00C67B66"/>
    <w:rsid w:val="00C705CE"/>
    <w:rsid w:val="00C879A2"/>
    <w:rsid w:val="00CA2949"/>
    <w:rsid w:val="00CA5986"/>
    <w:rsid w:val="00CB688F"/>
    <w:rsid w:val="00CC794C"/>
    <w:rsid w:val="00CD7497"/>
    <w:rsid w:val="00CE1D02"/>
    <w:rsid w:val="00CE29EF"/>
    <w:rsid w:val="00CE609A"/>
    <w:rsid w:val="00CF0124"/>
    <w:rsid w:val="00D05CF4"/>
    <w:rsid w:val="00D06711"/>
    <w:rsid w:val="00D16AAC"/>
    <w:rsid w:val="00D2609F"/>
    <w:rsid w:val="00D27C26"/>
    <w:rsid w:val="00D32954"/>
    <w:rsid w:val="00D34DA0"/>
    <w:rsid w:val="00D3508C"/>
    <w:rsid w:val="00D41F89"/>
    <w:rsid w:val="00D51216"/>
    <w:rsid w:val="00D66D0B"/>
    <w:rsid w:val="00DA12EF"/>
    <w:rsid w:val="00DA2079"/>
    <w:rsid w:val="00DA458D"/>
    <w:rsid w:val="00DC1A19"/>
    <w:rsid w:val="00DD3688"/>
    <w:rsid w:val="00DE1B5C"/>
    <w:rsid w:val="00DF1865"/>
    <w:rsid w:val="00DF386D"/>
    <w:rsid w:val="00E1165D"/>
    <w:rsid w:val="00E11CD4"/>
    <w:rsid w:val="00E22188"/>
    <w:rsid w:val="00E34338"/>
    <w:rsid w:val="00E60495"/>
    <w:rsid w:val="00E83714"/>
    <w:rsid w:val="00E8457B"/>
    <w:rsid w:val="00E871E1"/>
    <w:rsid w:val="00E87981"/>
    <w:rsid w:val="00E90155"/>
    <w:rsid w:val="00E92755"/>
    <w:rsid w:val="00E94E73"/>
    <w:rsid w:val="00EA224E"/>
    <w:rsid w:val="00EA76B2"/>
    <w:rsid w:val="00EA77F8"/>
    <w:rsid w:val="00EC491C"/>
    <w:rsid w:val="00EC5BA1"/>
    <w:rsid w:val="00F05F5C"/>
    <w:rsid w:val="00F06E0B"/>
    <w:rsid w:val="00F07522"/>
    <w:rsid w:val="00F16E34"/>
    <w:rsid w:val="00F20D6C"/>
    <w:rsid w:val="00F3292F"/>
    <w:rsid w:val="00F33118"/>
    <w:rsid w:val="00F41A5F"/>
    <w:rsid w:val="00F42216"/>
    <w:rsid w:val="00F47F9E"/>
    <w:rsid w:val="00F574BF"/>
    <w:rsid w:val="00F6236D"/>
    <w:rsid w:val="00F70B46"/>
    <w:rsid w:val="00F7165F"/>
    <w:rsid w:val="00F80B08"/>
    <w:rsid w:val="00F84AB3"/>
    <w:rsid w:val="00F922B0"/>
    <w:rsid w:val="00F97C69"/>
    <w:rsid w:val="00FD2DDD"/>
    <w:rsid w:val="00FD43E3"/>
    <w:rsid w:val="00FE365F"/>
    <w:rsid w:val="00FE5B00"/>
    <w:rsid w:val="00FF1A60"/>
    <w:rsid w:val="00FF25A1"/>
    <w:rsid w:val="00FF56CC"/>
    <w:rsid w:val="11A0694B"/>
    <w:rsid w:val="3F6B5178"/>
    <w:rsid w:val="69353C04"/>
    <w:rsid w:val="78C570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2BBA-98F8-47F3-971D-07AC323FB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5850</Words>
  <Characters>5965</Characters>
  <Lines>42</Lines>
  <Paragraphs>12</Paragraphs>
  <TotalTime>200</TotalTime>
  <ScaleCrop>false</ScaleCrop>
  <LinksUpToDate>false</LinksUpToDate>
  <CharactersWithSpaces>5988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2022-03-02T07:27:00Z</dcterms:created>
  <dc:creator>Administrator</dc:creator>
  <cp:lastModifiedBy>刘梦瑶</cp:lastModifiedBy>
  <cp:lastPrinted>2022-03-03T02:19:00Z</cp:lastPrinted>
  <dcterms:modified xsi:type="dcterms:W3CDTF">2025-08-13T09:08:38Z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031F1418AA15478F8C1E593FA4542F2D</vt:lpwstr>
  </property>
  <property fmtid="{D5CDD505-2E9C-101B-9397-08002B2CF9AE}" pid="4" name="KSOTemplateDocerSaveRecord">
    <vt:lpwstr>eyJoZGlkIjoiMWQwZjg3ZjI3ZTVlNDBjYzMwZWYzYTcwYzZkNzBjNjUiLCJ1c2VySWQiOiIxNjM1MzMwNTM0In0=</vt:lpwstr>
  </property>
</Properties>
</file>